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D5" w:rsidRPr="00935804" w:rsidRDefault="00935804" w:rsidP="00935804">
      <w:pPr>
        <w:overflowPunct w:val="0"/>
        <w:ind w:firstLineChars="150" w:firstLine="480"/>
        <w:jc w:val="both"/>
        <w:outlineLvl w:val="0"/>
        <w:rPr>
          <w:rFonts w:ascii="標楷體" w:eastAsia="標楷體"/>
          <w:b/>
          <w:bCs/>
          <w:sz w:val="32"/>
        </w:rPr>
      </w:pPr>
      <w:r>
        <w:rPr>
          <w:rFonts w:ascii="標楷體" w:eastAsia="標楷體" w:hint="eastAsia"/>
          <w:b/>
          <w:bCs/>
          <w:sz w:val="32"/>
        </w:rPr>
        <w:t>(三)</w:t>
      </w:r>
      <w:r w:rsidR="00EF54D5" w:rsidRPr="00935804">
        <w:rPr>
          <w:rFonts w:ascii="標楷體" w:eastAsia="標楷體" w:hint="eastAsia"/>
          <w:b/>
          <w:bCs/>
          <w:sz w:val="32"/>
        </w:rPr>
        <w:t>全民健康保險基金</w:t>
      </w:r>
    </w:p>
    <w:p w:rsidR="00EF54D5" w:rsidRPr="00BA20E6" w:rsidRDefault="00EF54D5" w:rsidP="001746E5">
      <w:pPr>
        <w:overflowPunct w:val="0"/>
        <w:spacing w:line="520" w:lineRule="exact"/>
        <w:ind w:firstLineChars="200" w:firstLine="480"/>
        <w:jc w:val="both"/>
        <w:outlineLvl w:val="0"/>
        <w:rPr>
          <w:rFonts w:ascii="標楷體" w:eastAsia="標楷體"/>
          <w:bCs/>
        </w:rPr>
      </w:pPr>
      <w:r w:rsidRPr="00BA20E6">
        <w:rPr>
          <w:rFonts w:ascii="標楷體" w:eastAsia="標楷體" w:hint="eastAsia"/>
          <w:bCs/>
        </w:rPr>
        <w:t>政府為辦理</w:t>
      </w:r>
      <w:r w:rsidRPr="00BA20E6">
        <w:rPr>
          <w:rFonts w:ascii="標楷體" w:eastAsia="標楷體"/>
          <w:bCs/>
        </w:rPr>
        <w:t>全民健康保險業務，</w:t>
      </w:r>
      <w:r w:rsidRPr="00BA20E6">
        <w:rPr>
          <w:rFonts w:ascii="標楷體" w:eastAsia="標楷體" w:hint="eastAsia"/>
          <w:bCs/>
        </w:rPr>
        <w:t>依據</w:t>
      </w:r>
      <w:r w:rsidR="00FD4027" w:rsidRPr="00BA20E6">
        <w:rPr>
          <w:rFonts w:ascii="標楷體" w:eastAsia="標楷體" w:hint="eastAsia"/>
          <w:bCs/>
        </w:rPr>
        <w:t>衛生福利部中央健康</w:t>
      </w:r>
      <w:proofErr w:type="gramStart"/>
      <w:r w:rsidR="00FD4027" w:rsidRPr="00BA20E6">
        <w:rPr>
          <w:rFonts w:ascii="標楷體" w:eastAsia="標楷體" w:hint="eastAsia"/>
          <w:bCs/>
        </w:rPr>
        <w:t>保險署</w:t>
      </w:r>
      <w:proofErr w:type="gramEnd"/>
      <w:r w:rsidR="00FD4027" w:rsidRPr="00BA20E6">
        <w:rPr>
          <w:rFonts w:ascii="標楷體" w:eastAsia="標楷體" w:hint="eastAsia"/>
          <w:bCs/>
        </w:rPr>
        <w:t>組織法</w:t>
      </w:r>
      <w:r w:rsidRPr="00BA20E6">
        <w:rPr>
          <w:rFonts w:ascii="標楷體" w:eastAsia="標楷體" w:hint="eastAsia"/>
          <w:bCs/>
        </w:rPr>
        <w:t>及全民健康保險法等規定，設立全民健康保險基金。該基金</w:t>
      </w:r>
      <w:proofErr w:type="gramStart"/>
      <w:r w:rsidR="0077674E" w:rsidRPr="00BA20E6">
        <w:rPr>
          <w:rFonts w:ascii="標楷體" w:eastAsia="標楷體" w:hint="eastAsia"/>
          <w:bCs/>
        </w:rPr>
        <w:t>10</w:t>
      </w:r>
      <w:r w:rsidR="00B67176" w:rsidRPr="00BA20E6">
        <w:rPr>
          <w:rFonts w:ascii="標楷體" w:eastAsia="標楷體" w:hint="eastAsia"/>
          <w:bCs/>
        </w:rPr>
        <w:t>9</w:t>
      </w:r>
      <w:proofErr w:type="gramEnd"/>
      <w:r w:rsidRPr="00BA20E6">
        <w:rPr>
          <w:rFonts w:ascii="標楷體" w:eastAsia="標楷體" w:hint="eastAsia"/>
          <w:bCs/>
        </w:rPr>
        <w:t>年度各項營運計畫及預算之執行等，經予書面審核，並派員就地抽查</w:t>
      </w:r>
      <w:r w:rsidR="00234B06" w:rsidRPr="00BA20E6">
        <w:rPr>
          <w:rFonts w:ascii="標楷體" w:eastAsia="標楷體" w:hint="eastAsia"/>
          <w:bCs/>
        </w:rPr>
        <w:t>，</w:t>
      </w:r>
      <w:r w:rsidRPr="00BA20E6">
        <w:rPr>
          <w:rFonts w:ascii="標楷體" w:eastAsia="標楷體" w:hint="eastAsia"/>
          <w:bCs/>
        </w:rPr>
        <w:t>茲將查核結果說明如次：</w:t>
      </w:r>
    </w:p>
    <w:p w:rsidR="00EF54D5" w:rsidRPr="00BA20E6" w:rsidRDefault="00EF54D5" w:rsidP="001746E5">
      <w:pPr>
        <w:overflowPunct w:val="0"/>
        <w:spacing w:line="520" w:lineRule="exact"/>
        <w:ind w:firstLineChars="450" w:firstLine="1261"/>
        <w:jc w:val="both"/>
        <w:outlineLvl w:val="0"/>
        <w:rPr>
          <w:rFonts w:ascii="標楷體" w:eastAsia="標楷體"/>
          <w:b/>
          <w:bCs/>
          <w:sz w:val="28"/>
        </w:rPr>
      </w:pPr>
      <w:r w:rsidRPr="00BA20E6">
        <w:rPr>
          <w:rFonts w:ascii="標楷體" w:eastAsia="標楷體" w:hint="eastAsia"/>
          <w:b/>
          <w:bCs/>
          <w:sz w:val="28"/>
        </w:rPr>
        <w:t>1.　營運計畫實施情形之查核</w:t>
      </w:r>
    </w:p>
    <w:p w:rsidR="00EF54D5" w:rsidRPr="00BA20E6" w:rsidRDefault="00EF54D5" w:rsidP="004714C4">
      <w:pPr>
        <w:overflowPunct w:val="0"/>
        <w:spacing w:line="520" w:lineRule="exact"/>
        <w:ind w:firstLineChars="200" w:firstLine="480"/>
        <w:jc w:val="both"/>
        <w:outlineLvl w:val="0"/>
        <w:rPr>
          <w:rFonts w:ascii="標楷體" w:eastAsia="標楷體"/>
          <w:bCs/>
        </w:rPr>
      </w:pPr>
      <w:r w:rsidRPr="00BA20E6">
        <w:rPr>
          <w:rFonts w:ascii="標楷體" w:eastAsia="標楷體" w:hint="eastAsia"/>
          <w:bCs/>
        </w:rPr>
        <w:t>該基金主要營運計畫係於保險對象在保險有效</w:t>
      </w:r>
      <w:proofErr w:type="gramStart"/>
      <w:r w:rsidRPr="00BA20E6">
        <w:rPr>
          <w:rFonts w:ascii="標楷體" w:eastAsia="標楷體" w:hint="eastAsia"/>
          <w:bCs/>
        </w:rPr>
        <w:t>期間，</w:t>
      </w:r>
      <w:proofErr w:type="gramEnd"/>
      <w:r w:rsidRPr="00BA20E6">
        <w:rPr>
          <w:rFonts w:ascii="標楷體" w:eastAsia="標楷體" w:hint="eastAsia"/>
          <w:bCs/>
        </w:rPr>
        <w:t>發生疾病、傷害、生育事故時，依全民健康保險法規定給</w:t>
      </w:r>
      <w:r w:rsidR="00396AE2" w:rsidRPr="00BA20E6">
        <w:rPr>
          <w:rFonts w:ascii="標楷體" w:eastAsia="標楷體" w:hint="eastAsia"/>
          <w:bCs/>
        </w:rPr>
        <w:t>予</w:t>
      </w:r>
      <w:r w:rsidRPr="00BA20E6">
        <w:rPr>
          <w:rFonts w:ascii="標楷體" w:eastAsia="標楷體" w:hint="eastAsia"/>
          <w:bCs/>
        </w:rPr>
        <w:t>保險給付。</w:t>
      </w:r>
      <w:proofErr w:type="gramStart"/>
      <w:r w:rsidR="008763FE" w:rsidRPr="00BA20E6">
        <w:rPr>
          <w:rFonts w:ascii="標楷體" w:eastAsia="標楷體" w:hint="eastAsia"/>
          <w:bCs/>
        </w:rPr>
        <w:t>10</w:t>
      </w:r>
      <w:r w:rsidR="00B67176" w:rsidRPr="00BA20E6">
        <w:rPr>
          <w:rFonts w:ascii="標楷體" w:eastAsia="標楷體" w:hint="eastAsia"/>
          <w:bCs/>
        </w:rPr>
        <w:t>9</w:t>
      </w:r>
      <w:proofErr w:type="gramEnd"/>
      <w:r w:rsidRPr="00BA20E6">
        <w:rPr>
          <w:rFonts w:ascii="標楷體" w:eastAsia="標楷體" w:hint="eastAsia"/>
          <w:bCs/>
        </w:rPr>
        <w:t>年度預計支付保險給付</w:t>
      </w:r>
      <w:r w:rsidR="00C40A4A" w:rsidRPr="00BA20E6">
        <w:rPr>
          <w:rFonts w:ascii="標楷體" w:eastAsia="標楷體" w:hint="eastAsia"/>
          <w:bCs/>
        </w:rPr>
        <w:t>6,</w:t>
      </w:r>
      <w:r w:rsidR="00701396" w:rsidRPr="00BA20E6">
        <w:rPr>
          <w:rFonts w:ascii="標楷體" w:eastAsia="標楷體" w:hint="eastAsia"/>
          <w:bCs/>
        </w:rPr>
        <w:t>940</w:t>
      </w:r>
      <w:r w:rsidR="00C40A4A" w:rsidRPr="00BA20E6">
        <w:rPr>
          <w:rFonts w:ascii="標楷體" w:eastAsia="標楷體" w:hint="eastAsia"/>
          <w:bCs/>
        </w:rPr>
        <w:t>億</w:t>
      </w:r>
      <w:r w:rsidR="00701396" w:rsidRPr="00BA20E6">
        <w:rPr>
          <w:rFonts w:ascii="標楷體" w:eastAsia="標楷體" w:hint="eastAsia"/>
          <w:bCs/>
        </w:rPr>
        <w:t>4</w:t>
      </w:r>
      <w:r w:rsidR="00C40A4A" w:rsidRPr="00BA20E6">
        <w:rPr>
          <w:rFonts w:ascii="標楷體" w:eastAsia="標楷體" w:hint="eastAsia"/>
          <w:bCs/>
        </w:rPr>
        <w:t>,</w:t>
      </w:r>
      <w:r w:rsidR="00701396" w:rsidRPr="00BA20E6">
        <w:rPr>
          <w:rFonts w:ascii="標楷體" w:eastAsia="標楷體" w:hint="eastAsia"/>
          <w:bCs/>
        </w:rPr>
        <w:t>283</w:t>
      </w:r>
      <w:r w:rsidR="00C40A4A" w:rsidRPr="00BA20E6">
        <w:rPr>
          <w:rFonts w:ascii="標楷體" w:eastAsia="標楷體" w:hint="eastAsia"/>
          <w:bCs/>
        </w:rPr>
        <w:t>萬</w:t>
      </w:r>
      <w:r w:rsidR="00D57A9B" w:rsidRPr="00BA20E6">
        <w:rPr>
          <w:rFonts w:ascii="標楷體" w:eastAsia="標楷體" w:hint="eastAsia"/>
          <w:bCs/>
        </w:rPr>
        <w:t>餘</w:t>
      </w:r>
      <w:r w:rsidR="00C40A4A" w:rsidRPr="00BA20E6">
        <w:rPr>
          <w:rFonts w:ascii="標楷體" w:eastAsia="標楷體" w:hint="eastAsia"/>
          <w:bCs/>
        </w:rPr>
        <w:t>元</w:t>
      </w:r>
      <w:r w:rsidRPr="00BA20E6">
        <w:rPr>
          <w:rFonts w:ascii="標楷體" w:eastAsia="標楷體" w:hint="eastAsia"/>
          <w:bCs/>
        </w:rPr>
        <w:t>，實際支付</w:t>
      </w:r>
      <w:r w:rsidR="00D57A9B" w:rsidRPr="00BA20E6">
        <w:rPr>
          <w:rFonts w:ascii="標楷體" w:eastAsia="標楷體" w:hint="eastAsia"/>
          <w:bCs/>
        </w:rPr>
        <w:t>6</w:t>
      </w:r>
      <w:r w:rsidR="00C40A4A" w:rsidRPr="00BA20E6">
        <w:rPr>
          <w:rFonts w:ascii="標楷體" w:eastAsia="標楷體" w:hint="eastAsia"/>
          <w:bCs/>
        </w:rPr>
        <w:t>,</w:t>
      </w:r>
      <w:r w:rsidR="00701396" w:rsidRPr="00BA20E6">
        <w:rPr>
          <w:rFonts w:ascii="標楷體" w:eastAsia="標楷體" w:hint="eastAsia"/>
          <w:bCs/>
        </w:rPr>
        <w:t>950</w:t>
      </w:r>
      <w:r w:rsidR="00C40A4A" w:rsidRPr="00BA20E6">
        <w:rPr>
          <w:rFonts w:ascii="標楷體" w:eastAsia="標楷體" w:hint="eastAsia"/>
          <w:bCs/>
        </w:rPr>
        <w:t>億</w:t>
      </w:r>
      <w:r w:rsidR="00701396" w:rsidRPr="00BA20E6">
        <w:rPr>
          <w:rFonts w:ascii="標楷體" w:eastAsia="標楷體" w:hint="eastAsia"/>
          <w:bCs/>
        </w:rPr>
        <w:t>9</w:t>
      </w:r>
      <w:r w:rsidR="00C40A4A" w:rsidRPr="00BA20E6">
        <w:rPr>
          <w:rFonts w:ascii="標楷體" w:eastAsia="標楷體" w:hint="eastAsia"/>
          <w:bCs/>
        </w:rPr>
        <w:t>,</w:t>
      </w:r>
      <w:r w:rsidR="00701396" w:rsidRPr="00BA20E6">
        <w:rPr>
          <w:rFonts w:ascii="標楷體" w:eastAsia="標楷體" w:hint="eastAsia"/>
          <w:bCs/>
        </w:rPr>
        <w:t>686</w:t>
      </w:r>
      <w:r w:rsidR="00C40A4A" w:rsidRPr="00BA20E6">
        <w:rPr>
          <w:rFonts w:ascii="標楷體" w:eastAsia="標楷體" w:hint="eastAsia"/>
          <w:bCs/>
        </w:rPr>
        <w:t>萬餘元</w:t>
      </w:r>
      <w:r w:rsidRPr="00BA20E6">
        <w:rPr>
          <w:rFonts w:ascii="標楷體" w:eastAsia="標楷體" w:hint="eastAsia"/>
          <w:bCs/>
        </w:rPr>
        <w:t>，較預計</w:t>
      </w:r>
      <w:r w:rsidR="00701396" w:rsidRPr="00BA20E6">
        <w:rPr>
          <w:rFonts w:ascii="標楷體" w:eastAsia="標楷體" w:hint="eastAsia"/>
          <w:bCs/>
        </w:rPr>
        <w:t>增加10</w:t>
      </w:r>
      <w:r w:rsidR="00C40A4A" w:rsidRPr="00BA20E6">
        <w:rPr>
          <w:rFonts w:ascii="標楷體" w:eastAsia="標楷體" w:hint="eastAsia"/>
          <w:bCs/>
        </w:rPr>
        <w:t>億</w:t>
      </w:r>
      <w:r w:rsidR="00701396" w:rsidRPr="00BA20E6">
        <w:rPr>
          <w:rFonts w:ascii="標楷體" w:eastAsia="標楷體" w:hint="eastAsia"/>
          <w:bCs/>
        </w:rPr>
        <w:t>5</w:t>
      </w:r>
      <w:r w:rsidR="00C40A4A" w:rsidRPr="00BA20E6">
        <w:rPr>
          <w:rFonts w:ascii="標楷體" w:eastAsia="標楷體" w:hint="eastAsia"/>
          <w:bCs/>
        </w:rPr>
        <w:t>,</w:t>
      </w:r>
      <w:r w:rsidR="00701396" w:rsidRPr="00BA20E6">
        <w:rPr>
          <w:rFonts w:ascii="標楷體" w:eastAsia="標楷體" w:hint="eastAsia"/>
          <w:bCs/>
        </w:rPr>
        <w:t>403</w:t>
      </w:r>
      <w:r w:rsidR="00C40A4A" w:rsidRPr="00BA20E6">
        <w:rPr>
          <w:rFonts w:ascii="標楷體" w:eastAsia="標楷體" w:hint="eastAsia"/>
          <w:bCs/>
        </w:rPr>
        <w:t>萬餘元</w:t>
      </w:r>
      <w:r w:rsidRPr="00BA20E6">
        <w:rPr>
          <w:rFonts w:ascii="標楷體" w:eastAsia="標楷體" w:hint="eastAsia"/>
          <w:bCs/>
        </w:rPr>
        <w:t>，約</w:t>
      </w:r>
      <w:r w:rsidR="00701396" w:rsidRPr="00BA20E6">
        <w:rPr>
          <w:rFonts w:ascii="標楷體" w:eastAsia="標楷體" w:hint="eastAsia"/>
          <w:bCs/>
        </w:rPr>
        <w:t>0.15</w:t>
      </w:r>
      <w:r w:rsidR="00C40A4A" w:rsidRPr="00BA20E6">
        <w:rPr>
          <w:rFonts w:ascii="標楷體" w:eastAsia="標楷體" w:hint="eastAsia"/>
          <w:bCs/>
        </w:rPr>
        <w:t>％</w:t>
      </w:r>
      <w:r w:rsidRPr="00BA20E6">
        <w:rPr>
          <w:rFonts w:ascii="標楷體" w:eastAsia="標楷體" w:hint="eastAsia"/>
          <w:bCs/>
        </w:rPr>
        <w:t>，主要係</w:t>
      </w:r>
      <w:r w:rsidR="00701396" w:rsidRPr="00BA20E6">
        <w:rPr>
          <w:rFonts w:ascii="標楷體" w:eastAsia="標楷體" w:hint="eastAsia"/>
          <w:bCs/>
        </w:rPr>
        <w:t>全民健康保險會協定之醫療費用總額成長率較預計為高，保險</w:t>
      </w:r>
      <w:proofErr w:type="gramStart"/>
      <w:r w:rsidR="00701396" w:rsidRPr="00BA20E6">
        <w:rPr>
          <w:rFonts w:ascii="標楷體" w:eastAsia="標楷體" w:hint="eastAsia"/>
          <w:bCs/>
        </w:rPr>
        <w:t>給付隨增所</w:t>
      </w:r>
      <w:proofErr w:type="gramEnd"/>
      <w:r w:rsidR="00701396" w:rsidRPr="00BA20E6">
        <w:rPr>
          <w:rFonts w:ascii="標楷體" w:eastAsia="標楷體" w:hint="eastAsia"/>
          <w:bCs/>
        </w:rPr>
        <w:t>致</w:t>
      </w:r>
      <w:r w:rsidRPr="00BA20E6">
        <w:rPr>
          <w:rFonts w:ascii="標楷體" w:eastAsia="標楷體" w:hint="eastAsia"/>
          <w:bCs/>
        </w:rPr>
        <w:t>。</w:t>
      </w:r>
    </w:p>
    <w:p w:rsidR="00EF54D5" w:rsidRPr="00BA20E6" w:rsidRDefault="00EF54D5" w:rsidP="001746E5">
      <w:pPr>
        <w:overflowPunct w:val="0"/>
        <w:spacing w:line="520" w:lineRule="exact"/>
        <w:ind w:firstLineChars="450" w:firstLine="1261"/>
        <w:jc w:val="both"/>
        <w:outlineLvl w:val="0"/>
        <w:rPr>
          <w:rFonts w:ascii="標楷體" w:eastAsia="標楷體"/>
          <w:b/>
          <w:bCs/>
          <w:sz w:val="28"/>
        </w:rPr>
      </w:pPr>
      <w:r w:rsidRPr="00BA20E6">
        <w:rPr>
          <w:rFonts w:ascii="標楷體" w:eastAsia="標楷體" w:hint="eastAsia"/>
          <w:b/>
          <w:bCs/>
          <w:sz w:val="28"/>
        </w:rPr>
        <w:t>2.　預算執行情形之審核</w:t>
      </w:r>
    </w:p>
    <w:p w:rsidR="00EF54D5" w:rsidRPr="00BA20E6" w:rsidRDefault="00622F00" w:rsidP="004714C4">
      <w:pPr>
        <w:overflowPunct w:val="0"/>
        <w:spacing w:line="520" w:lineRule="exact"/>
        <w:ind w:firstLineChars="200" w:firstLine="480"/>
        <w:jc w:val="both"/>
        <w:outlineLvl w:val="0"/>
        <w:rPr>
          <w:rFonts w:ascii="標楷體" w:eastAsia="標楷體"/>
          <w:bCs/>
        </w:rPr>
      </w:pPr>
      <w:proofErr w:type="gramStart"/>
      <w:r w:rsidRPr="00BA20E6">
        <w:rPr>
          <w:rFonts w:ascii="標楷體" w:eastAsia="標楷體" w:hint="eastAsia"/>
          <w:bCs/>
        </w:rPr>
        <w:t>10</w:t>
      </w:r>
      <w:r w:rsidR="0006550F" w:rsidRPr="00BA20E6">
        <w:rPr>
          <w:rFonts w:ascii="標楷體" w:eastAsia="標楷體" w:hint="eastAsia"/>
          <w:bCs/>
        </w:rPr>
        <w:t>9</w:t>
      </w:r>
      <w:proofErr w:type="gramEnd"/>
      <w:r w:rsidR="00EF54D5" w:rsidRPr="00BA20E6">
        <w:rPr>
          <w:rFonts w:ascii="標楷體" w:eastAsia="標楷體" w:hint="eastAsia"/>
          <w:bCs/>
        </w:rPr>
        <w:t>年度決算審核結果，業務</w:t>
      </w:r>
      <w:r w:rsidR="00374B71" w:rsidRPr="00BA20E6">
        <w:rPr>
          <w:rFonts w:ascii="標楷體" w:eastAsia="標楷體" w:hint="eastAsia"/>
          <w:bCs/>
        </w:rPr>
        <w:t>短</w:t>
      </w:r>
      <w:proofErr w:type="gramStart"/>
      <w:r w:rsidR="00374B71" w:rsidRPr="00BA20E6">
        <w:rPr>
          <w:rFonts w:ascii="標楷體" w:eastAsia="標楷體" w:hint="eastAsia"/>
          <w:bCs/>
        </w:rPr>
        <w:t>絀</w:t>
      </w:r>
      <w:proofErr w:type="gramEnd"/>
      <w:r w:rsidR="003937D2" w:rsidRPr="00BA20E6">
        <w:rPr>
          <w:rFonts w:ascii="標楷體" w:eastAsia="標楷體" w:hint="eastAsia"/>
          <w:bCs/>
        </w:rPr>
        <w:t>2</w:t>
      </w:r>
      <w:r w:rsidR="0006550F" w:rsidRPr="00BA20E6">
        <w:rPr>
          <w:rFonts w:ascii="標楷體" w:eastAsia="標楷體" w:hint="eastAsia"/>
          <w:bCs/>
        </w:rPr>
        <w:t>1</w:t>
      </w:r>
      <w:r w:rsidR="00EF54D5" w:rsidRPr="00BA20E6">
        <w:rPr>
          <w:rFonts w:ascii="標楷體" w:eastAsia="標楷體" w:hint="eastAsia"/>
          <w:bCs/>
        </w:rPr>
        <w:t>億</w:t>
      </w:r>
      <w:r w:rsidR="0006550F" w:rsidRPr="00BA20E6">
        <w:rPr>
          <w:rFonts w:ascii="標楷體" w:eastAsia="標楷體" w:hint="eastAsia"/>
          <w:bCs/>
        </w:rPr>
        <w:t>2,912</w:t>
      </w:r>
      <w:r w:rsidR="004061C8" w:rsidRPr="00BA20E6">
        <w:rPr>
          <w:rFonts w:ascii="標楷體" w:eastAsia="標楷體" w:hint="eastAsia"/>
          <w:bCs/>
        </w:rPr>
        <w:t>萬</w:t>
      </w:r>
      <w:r w:rsidR="00EF54D5" w:rsidRPr="00BA20E6">
        <w:rPr>
          <w:rFonts w:ascii="標楷體" w:eastAsia="標楷體" w:hint="eastAsia"/>
          <w:bCs/>
        </w:rPr>
        <w:t>餘元，業務外賸餘</w:t>
      </w:r>
      <w:r w:rsidR="00FA20F8" w:rsidRPr="00BA20E6">
        <w:rPr>
          <w:rFonts w:ascii="標楷體" w:eastAsia="標楷體" w:hint="eastAsia"/>
          <w:bCs/>
        </w:rPr>
        <w:t>21</w:t>
      </w:r>
      <w:r w:rsidR="00EF54D5" w:rsidRPr="00BA20E6">
        <w:rPr>
          <w:rFonts w:ascii="標楷體" w:eastAsia="標楷體" w:hint="eastAsia"/>
          <w:bCs/>
        </w:rPr>
        <w:t>億</w:t>
      </w:r>
      <w:r w:rsidR="00FA20F8" w:rsidRPr="00BA20E6">
        <w:rPr>
          <w:rFonts w:ascii="標楷體" w:eastAsia="標楷體" w:hint="eastAsia"/>
          <w:bCs/>
        </w:rPr>
        <w:t>2,915</w:t>
      </w:r>
      <w:r w:rsidR="00EF54D5" w:rsidRPr="00BA20E6">
        <w:rPr>
          <w:rFonts w:ascii="標楷體" w:eastAsia="標楷體" w:hint="eastAsia"/>
          <w:bCs/>
        </w:rPr>
        <w:t>萬</w:t>
      </w:r>
      <w:r w:rsidR="004061C8" w:rsidRPr="00BA20E6">
        <w:rPr>
          <w:rFonts w:ascii="標楷體" w:eastAsia="標楷體" w:hint="eastAsia"/>
          <w:bCs/>
        </w:rPr>
        <w:t>餘</w:t>
      </w:r>
      <w:r w:rsidR="00EF54D5" w:rsidRPr="00BA20E6">
        <w:rPr>
          <w:rFonts w:ascii="標楷體" w:eastAsia="標楷體" w:hint="eastAsia"/>
          <w:bCs/>
        </w:rPr>
        <w:t>元，審定本期</w:t>
      </w:r>
      <w:r w:rsidR="00C40A4A" w:rsidRPr="00BA20E6">
        <w:rPr>
          <w:rFonts w:ascii="標楷體" w:eastAsia="標楷體" w:hint="eastAsia"/>
          <w:bCs/>
        </w:rPr>
        <w:t>賸餘</w:t>
      </w:r>
      <w:r w:rsidR="00FA20F8" w:rsidRPr="00BA20E6">
        <w:rPr>
          <w:rFonts w:ascii="標楷體" w:eastAsia="標楷體" w:hint="eastAsia"/>
          <w:bCs/>
        </w:rPr>
        <w:t>2</w:t>
      </w:r>
      <w:r w:rsidR="004061C8" w:rsidRPr="00BA20E6">
        <w:rPr>
          <w:rFonts w:ascii="標楷體" w:eastAsia="標楷體" w:hint="eastAsia"/>
          <w:bCs/>
        </w:rPr>
        <w:t>萬</w:t>
      </w:r>
      <w:r w:rsidR="00EF54D5" w:rsidRPr="00BA20E6">
        <w:rPr>
          <w:rFonts w:ascii="標楷體" w:eastAsia="標楷體" w:hint="eastAsia"/>
          <w:bCs/>
        </w:rPr>
        <w:t>餘元</w:t>
      </w:r>
      <w:r w:rsidR="00C40A4A" w:rsidRPr="00BA20E6">
        <w:rPr>
          <w:rFonts w:ascii="標楷體" w:eastAsia="標楷體" w:hint="eastAsia"/>
          <w:bCs/>
        </w:rPr>
        <w:t>，</w:t>
      </w:r>
      <w:r w:rsidR="00086550" w:rsidRPr="00BA20E6">
        <w:rPr>
          <w:rFonts w:ascii="標楷體" w:eastAsia="標楷體" w:hint="eastAsia"/>
          <w:bCs/>
        </w:rPr>
        <w:t>較</w:t>
      </w:r>
      <w:r w:rsidR="00C40A4A" w:rsidRPr="00BA20E6">
        <w:rPr>
          <w:rFonts w:ascii="標楷體" w:eastAsia="標楷體" w:hint="eastAsia"/>
          <w:bCs/>
        </w:rPr>
        <w:t>預算無餘</w:t>
      </w:r>
      <w:proofErr w:type="gramStart"/>
      <w:r w:rsidR="00C40A4A" w:rsidRPr="00BA20E6">
        <w:rPr>
          <w:rFonts w:ascii="標楷體" w:eastAsia="標楷體" w:hint="eastAsia"/>
          <w:bCs/>
        </w:rPr>
        <w:t>絀</w:t>
      </w:r>
      <w:proofErr w:type="gramEnd"/>
      <w:r w:rsidR="00086550" w:rsidRPr="00BA20E6">
        <w:rPr>
          <w:rFonts w:ascii="標楷體" w:eastAsia="標楷體" w:hint="eastAsia"/>
          <w:bCs/>
        </w:rPr>
        <w:t>增加</w:t>
      </w:r>
      <w:r w:rsidR="00FA20F8" w:rsidRPr="00BA20E6">
        <w:rPr>
          <w:rFonts w:ascii="標楷體" w:eastAsia="標楷體" w:hint="eastAsia"/>
          <w:bCs/>
        </w:rPr>
        <w:t>2</w:t>
      </w:r>
      <w:r w:rsidR="00086550" w:rsidRPr="00BA20E6">
        <w:rPr>
          <w:rFonts w:ascii="標楷體" w:eastAsia="標楷體" w:hint="eastAsia"/>
          <w:bCs/>
        </w:rPr>
        <w:t>萬餘元</w:t>
      </w:r>
      <w:r w:rsidR="00C40A4A" w:rsidRPr="00BA20E6">
        <w:rPr>
          <w:rFonts w:ascii="標楷體" w:eastAsia="標楷體" w:hint="eastAsia"/>
          <w:bCs/>
        </w:rPr>
        <w:t>，主要係</w:t>
      </w:r>
      <w:proofErr w:type="gramStart"/>
      <w:r w:rsidR="008F4D77" w:rsidRPr="00BA20E6">
        <w:rPr>
          <w:rFonts w:ascii="標楷體" w:eastAsia="標楷體" w:hint="eastAsia"/>
          <w:bCs/>
        </w:rPr>
        <w:t>臺</w:t>
      </w:r>
      <w:proofErr w:type="gramEnd"/>
      <w:r w:rsidR="008F4D77" w:rsidRPr="00BA20E6">
        <w:rPr>
          <w:rFonts w:ascii="標楷體" w:eastAsia="標楷體" w:hint="eastAsia"/>
          <w:bCs/>
        </w:rPr>
        <w:t>北聯合門診中心</w:t>
      </w:r>
      <w:r w:rsidR="00886E15" w:rsidRPr="00BA20E6">
        <w:rPr>
          <w:rFonts w:ascii="標楷體" w:eastAsia="標楷體" w:hint="eastAsia"/>
          <w:bCs/>
        </w:rPr>
        <w:t>業</w:t>
      </w:r>
      <w:r w:rsidR="00A121C8" w:rsidRPr="00BA20E6">
        <w:rPr>
          <w:rFonts w:ascii="標楷體" w:eastAsia="標楷體" w:hint="eastAsia"/>
          <w:bCs/>
        </w:rPr>
        <w:t>於106年10月31日結束營運，</w:t>
      </w:r>
      <w:proofErr w:type="gramStart"/>
      <w:r w:rsidR="00A121C8" w:rsidRPr="00BA20E6">
        <w:rPr>
          <w:rFonts w:ascii="標楷體" w:eastAsia="標楷體" w:hint="eastAsia"/>
          <w:bCs/>
        </w:rPr>
        <w:t>爰</w:t>
      </w:r>
      <w:proofErr w:type="gramEnd"/>
      <w:r w:rsidR="00A121C8" w:rsidRPr="00BA20E6">
        <w:rPr>
          <w:rFonts w:ascii="標楷體" w:eastAsia="標楷體" w:hint="eastAsia"/>
          <w:bCs/>
        </w:rPr>
        <w:t>未編列預算，其以前年度</w:t>
      </w:r>
      <w:r w:rsidR="00935485" w:rsidRPr="00BA20E6">
        <w:rPr>
          <w:rFonts w:ascii="標楷體" w:eastAsia="標楷體" w:hint="eastAsia"/>
          <w:bCs/>
        </w:rPr>
        <w:t>累積賸餘</w:t>
      </w:r>
      <w:r w:rsidR="00A924EC" w:rsidRPr="00BA20E6">
        <w:rPr>
          <w:rFonts w:ascii="標楷體" w:eastAsia="標楷體" w:hint="eastAsia"/>
          <w:bCs/>
        </w:rPr>
        <w:t>等資金配合清理及繳庫期程產生</w:t>
      </w:r>
      <w:r w:rsidR="00935485" w:rsidRPr="00BA20E6">
        <w:rPr>
          <w:rFonts w:ascii="標楷體" w:eastAsia="標楷體" w:hint="eastAsia"/>
          <w:bCs/>
        </w:rPr>
        <w:t>孳息收入</w:t>
      </w:r>
      <w:r w:rsidR="00416173" w:rsidRPr="00BA20E6">
        <w:rPr>
          <w:rFonts w:ascii="標楷體" w:eastAsia="標楷體" w:hint="eastAsia"/>
          <w:bCs/>
        </w:rPr>
        <w:t>。</w:t>
      </w:r>
    </w:p>
    <w:p w:rsidR="00EF54D5" w:rsidRPr="00BA20E6" w:rsidRDefault="00EF54D5" w:rsidP="001746E5">
      <w:pPr>
        <w:overflowPunct w:val="0"/>
        <w:spacing w:line="520" w:lineRule="exact"/>
        <w:ind w:firstLineChars="450" w:firstLine="1261"/>
        <w:jc w:val="both"/>
        <w:outlineLvl w:val="0"/>
        <w:rPr>
          <w:rFonts w:ascii="標楷體" w:eastAsia="標楷體"/>
          <w:b/>
          <w:bCs/>
          <w:sz w:val="28"/>
        </w:rPr>
      </w:pPr>
      <w:r w:rsidRPr="00BA20E6">
        <w:rPr>
          <w:rFonts w:ascii="標楷體" w:eastAsia="標楷體" w:hint="eastAsia"/>
          <w:b/>
          <w:bCs/>
          <w:sz w:val="28"/>
        </w:rPr>
        <w:t>3.　餘</w:t>
      </w:r>
      <w:proofErr w:type="gramStart"/>
      <w:r w:rsidRPr="00BA20E6">
        <w:rPr>
          <w:rFonts w:ascii="標楷體" w:eastAsia="標楷體" w:hint="eastAsia"/>
          <w:b/>
          <w:bCs/>
          <w:sz w:val="28"/>
        </w:rPr>
        <w:t>絀</w:t>
      </w:r>
      <w:proofErr w:type="gramEnd"/>
      <w:r w:rsidRPr="00BA20E6">
        <w:rPr>
          <w:rFonts w:ascii="標楷體" w:eastAsia="標楷體" w:hint="eastAsia"/>
          <w:b/>
          <w:bCs/>
          <w:sz w:val="28"/>
        </w:rPr>
        <w:t>及撥補之審定</w:t>
      </w:r>
    </w:p>
    <w:p w:rsidR="00EF54D5" w:rsidRPr="00BA20E6" w:rsidRDefault="00EF54D5" w:rsidP="004714C4">
      <w:pPr>
        <w:overflowPunct w:val="0"/>
        <w:spacing w:line="520" w:lineRule="exact"/>
        <w:ind w:firstLineChars="550" w:firstLine="1320"/>
        <w:jc w:val="both"/>
        <w:outlineLvl w:val="0"/>
        <w:rPr>
          <w:rFonts w:ascii="標楷體" w:eastAsia="標楷體"/>
          <w:bCs/>
        </w:rPr>
      </w:pPr>
      <w:r w:rsidRPr="00BA20E6">
        <w:rPr>
          <w:rFonts w:ascii="標楷體" w:eastAsia="標楷體" w:hint="eastAsia"/>
          <w:bCs/>
        </w:rPr>
        <w:t>（1）　餘</w:t>
      </w:r>
      <w:proofErr w:type="gramStart"/>
      <w:r w:rsidRPr="00BA20E6">
        <w:rPr>
          <w:rFonts w:ascii="標楷體" w:eastAsia="標楷體" w:hint="eastAsia"/>
          <w:bCs/>
        </w:rPr>
        <w:t>絀</w:t>
      </w:r>
      <w:proofErr w:type="gramEnd"/>
      <w:r w:rsidRPr="00BA20E6">
        <w:rPr>
          <w:rFonts w:ascii="標楷體" w:eastAsia="標楷體" w:hint="eastAsia"/>
          <w:bCs/>
        </w:rPr>
        <w:t xml:space="preserve">審定　</w:t>
      </w:r>
      <w:proofErr w:type="gramStart"/>
      <w:r w:rsidR="00622F00" w:rsidRPr="00BA20E6">
        <w:rPr>
          <w:rFonts w:ascii="標楷體" w:eastAsia="標楷體" w:hint="eastAsia"/>
          <w:bCs/>
        </w:rPr>
        <w:t>10</w:t>
      </w:r>
      <w:r w:rsidR="00FA20F8" w:rsidRPr="00BA20E6">
        <w:rPr>
          <w:rFonts w:ascii="標楷體" w:eastAsia="標楷體" w:hint="eastAsia"/>
          <w:bCs/>
        </w:rPr>
        <w:t>9</w:t>
      </w:r>
      <w:proofErr w:type="gramEnd"/>
      <w:r w:rsidRPr="00BA20E6">
        <w:rPr>
          <w:rFonts w:ascii="標楷體" w:eastAsia="標楷體" w:hint="eastAsia"/>
          <w:bCs/>
        </w:rPr>
        <w:t>年度決算經行政院核定</w:t>
      </w:r>
      <w:r w:rsidR="00C40A4A" w:rsidRPr="00BA20E6">
        <w:rPr>
          <w:rFonts w:ascii="標楷體" w:eastAsia="標楷體" w:hint="eastAsia"/>
          <w:bCs/>
        </w:rPr>
        <w:t>賸餘</w:t>
      </w:r>
      <w:r w:rsidR="00FA20F8" w:rsidRPr="00BA20E6">
        <w:rPr>
          <w:rFonts w:ascii="標楷體" w:eastAsia="標楷體" w:hint="eastAsia"/>
          <w:bCs/>
        </w:rPr>
        <w:t>27</w:t>
      </w:r>
      <w:r w:rsidR="0061316F" w:rsidRPr="00BA20E6">
        <w:rPr>
          <w:rFonts w:ascii="標楷體" w:eastAsia="標楷體" w:hint="eastAsia"/>
          <w:bCs/>
        </w:rPr>
        <w:t>,</w:t>
      </w:r>
      <w:r w:rsidR="00FA20F8" w:rsidRPr="00BA20E6">
        <w:rPr>
          <w:rFonts w:ascii="標楷體" w:eastAsia="標楷體" w:hint="eastAsia"/>
          <w:bCs/>
        </w:rPr>
        <w:t>811</w:t>
      </w:r>
      <w:r w:rsidR="0061316F" w:rsidRPr="00BA20E6">
        <w:rPr>
          <w:rFonts w:ascii="標楷體" w:eastAsia="標楷體" w:hint="eastAsia"/>
          <w:bCs/>
        </w:rPr>
        <w:t>元</w:t>
      </w:r>
      <w:r w:rsidRPr="00BA20E6">
        <w:rPr>
          <w:rFonts w:ascii="標楷體" w:eastAsia="標楷體" w:hint="eastAsia"/>
          <w:bCs/>
        </w:rPr>
        <w:t>，本部</w:t>
      </w:r>
      <w:r w:rsidR="00234B06" w:rsidRPr="00BA20E6">
        <w:rPr>
          <w:rFonts w:ascii="標楷體" w:eastAsia="標楷體" w:hint="eastAsia"/>
          <w:bCs/>
        </w:rPr>
        <w:t>依法</w:t>
      </w:r>
      <w:r w:rsidRPr="00BA20E6">
        <w:rPr>
          <w:rFonts w:ascii="標楷體" w:eastAsia="標楷體" w:hint="eastAsia"/>
          <w:bCs/>
        </w:rPr>
        <w:t>審核修正</w:t>
      </w:r>
      <w:r w:rsidR="00A64A27" w:rsidRPr="00BA20E6">
        <w:rPr>
          <w:rFonts w:ascii="標楷體" w:eastAsia="標楷體" w:hint="eastAsia"/>
          <w:bCs/>
        </w:rPr>
        <w:t>增</w:t>
      </w:r>
      <w:r w:rsidRPr="00BA20E6">
        <w:rPr>
          <w:rFonts w:ascii="標楷體" w:eastAsia="標楷體" w:hint="eastAsia"/>
          <w:bCs/>
        </w:rPr>
        <w:t>列</w:t>
      </w:r>
      <w:r w:rsidR="002707F9" w:rsidRPr="00BA20E6">
        <w:rPr>
          <w:rFonts w:ascii="標楷體" w:eastAsia="標楷體" w:hint="eastAsia"/>
          <w:bCs/>
        </w:rPr>
        <w:t>業務收入</w:t>
      </w:r>
      <w:r w:rsidR="00FA20F8" w:rsidRPr="00BA20E6">
        <w:rPr>
          <w:rFonts w:ascii="標楷體" w:eastAsia="標楷體" w:hint="eastAsia"/>
          <w:bCs/>
        </w:rPr>
        <w:t>233</w:t>
      </w:r>
      <w:r w:rsidR="00F81CB9" w:rsidRPr="00BA20E6">
        <w:rPr>
          <w:rFonts w:ascii="標楷體" w:eastAsia="標楷體"/>
          <w:bCs/>
        </w:rPr>
        <w:t>,</w:t>
      </w:r>
      <w:r w:rsidR="00FA20F8" w:rsidRPr="00BA20E6">
        <w:rPr>
          <w:rFonts w:ascii="標楷體" w:eastAsia="標楷體" w:hint="eastAsia"/>
          <w:bCs/>
        </w:rPr>
        <w:t>457</w:t>
      </w:r>
      <w:r w:rsidR="00F81CB9" w:rsidRPr="00BA20E6">
        <w:rPr>
          <w:rFonts w:ascii="標楷體" w:eastAsia="標楷體"/>
          <w:bCs/>
        </w:rPr>
        <w:t>,</w:t>
      </w:r>
      <w:r w:rsidR="00FA20F8" w:rsidRPr="00BA20E6">
        <w:rPr>
          <w:rFonts w:ascii="標楷體" w:eastAsia="標楷體" w:hint="eastAsia"/>
          <w:bCs/>
        </w:rPr>
        <w:t>693</w:t>
      </w:r>
      <w:r w:rsidR="002707F9" w:rsidRPr="00BA20E6">
        <w:rPr>
          <w:rFonts w:ascii="標楷體" w:eastAsia="標楷體" w:hint="eastAsia"/>
          <w:bCs/>
        </w:rPr>
        <w:t>元</w:t>
      </w:r>
      <w:r w:rsidR="001E1105" w:rsidRPr="00BA20E6">
        <w:rPr>
          <w:rFonts w:ascii="標楷體" w:eastAsia="標楷體" w:hint="eastAsia"/>
          <w:bCs/>
        </w:rPr>
        <w:t>、</w:t>
      </w:r>
      <w:r w:rsidR="002707F9" w:rsidRPr="00BA20E6">
        <w:rPr>
          <w:rFonts w:ascii="標楷體" w:eastAsia="標楷體" w:hint="eastAsia"/>
          <w:bCs/>
        </w:rPr>
        <w:t>業務成本與費用</w:t>
      </w:r>
      <w:r w:rsidR="00FA20F8" w:rsidRPr="00BA20E6">
        <w:rPr>
          <w:rFonts w:ascii="標楷體" w:eastAsia="標楷體" w:hint="eastAsia"/>
          <w:bCs/>
        </w:rPr>
        <w:t>233</w:t>
      </w:r>
      <w:r w:rsidR="003819A6" w:rsidRPr="00BA20E6">
        <w:rPr>
          <w:rFonts w:ascii="標楷體" w:eastAsia="標楷體"/>
          <w:bCs/>
        </w:rPr>
        <w:t>,</w:t>
      </w:r>
      <w:r w:rsidR="00FA20F8" w:rsidRPr="00BA20E6">
        <w:rPr>
          <w:rFonts w:ascii="標楷體" w:eastAsia="標楷體" w:hint="eastAsia"/>
          <w:bCs/>
        </w:rPr>
        <w:t>457</w:t>
      </w:r>
      <w:r w:rsidR="003819A6" w:rsidRPr="00BA20E6">
        <w:rPr>
          <w:rFonts w:ascii="標楷體" w:eastAsia="標楷體"/>
          <w:bCs/>
        </w:rPr>
        <w:t>,</w:t>
      </w:r>
      <w:r w:rsidR="00FA20F8" w:rsidRPr="00BA20E6">
        <w:rPr>
          <w:rFonts w:ascii="標楷體" w:eastAsia="標楷體" w:hint="eastAsia"/>
          <w:bCs/>
        </w:rPr>
        <w:t>693</w:t>
      </w:r>
      <w:r w:rsidR="002707F9" w:rsidRPr="00BA20E6">
        <w:rPr>
          <w:rFonts w:ascii="標楷體" w:eastAsia="標楷體" w:hint="eastAsia"/>
          <w:bCs/>
        </w:rPr>
        <w:t>元</w:t>
      </w:r>
      <w:r w:rsidR="00DB3CA6" w:rsidRPr="00BA20E6">
        <w:rPr>
          <w:rFonts w:ascii="標楷體" w:eastAsia="標楷體" w:hint="eastAsia"/>
          <w:bCs/>
        </w:rPr>
        <w:t>，</w:t>
      </w:r>
      <w:r w:rsidR="00027AF1" w:rsidRPr="00BA20E6">
        <w:rPr>
          <w:rFonts w:ascii="標楷體" w:eastAsia="標楷體" w:hint="eastAsia"/>
          <w:bCs/>
        </w:rPr>
        <w:t>收支互抵，</w:t>
      </w:r>
      <w:r w:rsidR="001030ED" w:rsidRPr="00BA20E6">
        <w:rPr>
          <w:rFonts w:ascii="標楷體" w:eastAsia="標楷體" w:hint="eastAsia"/>
          <w:bCs/>
        </w:rPr>
        <w:t>餘</w:t>
      </w:r>
      <w:proofErr w:type="gramStart"/>
      <w:r w:rsidR="001030ED" w:rsidRPr="00BA20E6">
        <w:rPr>
          <w:rFonts w:ascii="標楷體" w:eastAsia="標楷體" w:hint="eastAsia"/>
          <w:bCs/>
        </w:rPr>
        <w:t>絀</w:t>
      </w:r>
      <w:proofErr w:type="gramEnd"/>
      <w:r w:rsidR="001030ED" w:rsidRPr="00BA20E6">
        <w:rPr>
          <w:rFonts w:ascii="標楷體" w:eastAsia="標楷體" w:hint="eastAsia"/>
          <w:bCs/>
        </w:rPr>
        <w:t>未有增減，</w:t>
      </w:r>
      <w:r w:rsidR="008A0C35" w:rsidRPr="00BA20E6">
        <w:rPr>
          <w:rFonts w:ascii="標楷體" w:eastAsia="標楷體" w:hint="eastAsia"/>
          <w:bCs/>
        </w:rPr>
        <w:t>予以照數審定</w:t>
      </w:r>
      <w:r w:rsidRPr="00BA20E6">
        <w:rPr>
          <w:rFonts w:ascii="標楷體" w:eastAsia="標楷體" w:hint="eastAsia"/>
          <w:bCs/>
        </w:rPr>
        <w:t>。</w:t>
      </w:r>
    </w:p>
    <w:p w:rsidR="00234B06" w:rsidRPr="00BA20E6" w:rsidRDefault="00EF54D5" w:rsidP="00265EAB">
      <w:pPr>
        <w:tabs>
          <w:tab w:val="left" w:pos="2172"/>
          <w:tab w:val="left" w:pos="3360"/>
        </w:tabs>
        <w:overflowPunct w:val="0"/>
        <w:spacing w:line="520" w:lineRule="exact"/>
        <w:ind w:firstLineChars="550" w:firstLine="1320"/>
        <w:jc w:val="both"/>
        <w:outlineLvl w:val="0"/>
        <w:rPr>
          <w:rFonts w:ascii="標楷體" w:eastAsia="標楷體"/>
          <w:bCs/>
        </w:rPr>
      </w:pPr>
      <w:r w:rsidRPr="00BA20E6">
        <w:rPr>
          <w:rFonts w:ascii="標楷體" w:eastAsia="標楷體" w:hint="eastAsia"/>
          <w:bCs/>
        </w:rPr>
        <w:t>（2</w:t>
      </w:r>
      <w:r w:rsidR="00265EAB">
        <w:rPr>
          <w:rFonts w:ascii="標楷體" w:eastAsia="標楷體" w:hint="eastAsia"/>
          <w:bCs/>
        </w:rPr>
        <w:t>）</w:t>
      </w:r>
      <w:r w:rsidR="00265EAB">
        <w:rPr>
          <w:rFonts w:ascii="標楷體" w:eastAsia="標楷體"/>
          <w:bCs/>
        </w:rPr>
        <w:tab/>
      </w:r>
      <w:r w:rsidR="00265EAB">
        <w:rPr>
          <w:rFonts w:ascii="標楷體" w:eastAsia="標楷體" w:hint="eastAsia"/>
          <w:bCs/>
        </w:rPr>
        <w:t>餘</w:t>
      </w:r>
      <w:proofErr w:type="gramStart"/>
      <w:r w:rsidR="00265EAB">
        <w:rPr>
          <w:rFonts w:ascii="標楷體" w:eastAsia="標楷體" w:hint="eastAsia"/>
          <w:bCs/>
        </w:rPr>
        <w:t>絀</w:t>
      </w:r>
      <w:proofErr w:type="gramEnd"/>
      <w:r w:rsidR="00265EAB">
        <w:rPr>
          <w:rFonts w:ascii="標楷體" w:eastAsia="標楷體" w:hint="eastAsia"/>
          <w:bCs/>
        </w:rPr>
        <w:t>撥補</w:t>
      </w:r>
      <w:r w:rsidR="00265EAB">
        <w:rPr>
          <w:rFonts w:ascii="標楷體" w:eastAsia="標楷體"/>
          <w:bCs/>
        </w:rPr>
        <w:tab/>
      </w:r>
      <w:proofErr w:type="gramStart"/>
      <w:r w:rsidR="00622F00" w:rsidRPr="00BA20E6">
        <w:rPr>
          <w:rFonts w:ascii="標楷體" w:eastAsia="標楷體" w:hint="eastAsia"/>
          <w:bCs/>
        </w:rPr>
        <w:t>10</w:t>
      </w:r>
      <w:r w:rsidR="00FA20F8" w:rsidRPr="00BA20E6">
        <w:rPr>
          <w:rFonts w:ascii="標楷體" w:eastAsia="標楷體" w:hint="eastAsia"/>
          <w:bCs/>
        </w:rPr>
        <w:t>9</w:t>
      </w:r>
      <w:proofErr w:type="gramEnd"/>
      <w:r w:rsidRPr="00BA20E6">
        <w:rPr>
          <w:rFonts w:ascii="標楷體" w:eastAsia="標楷體" w:hint="eastAsia"/>
          <w:bCs/>
        </w:rPr>
        <w:t>年度決算審定</w:t>
      </w:r>
      <w:r w:rsidR="0085654D" w:rsidRPr="00BA20E6">
        <w:rPr>
          <w:rFonts w:ascii="標楷體" w:eastAsia="標楷體" w:hint="eastAsia"/>
          <w:bCs/>
        </w:rPr>
        <w:t>賸餘</w:t>
      </w:r>
      <w:r w:rsidR="00FA20F8" w:rsidRPr="00BA20E6">
        <w:rPr>
          <w:rFonts w:ascii="標楷體" w:eastAsia="標楷體" w:hint="eastAsia"/>
          <w:bCs/>
        </w:rPr>
        <w:t>27</w:t>
      </w:r>
      <w:r w:rsidR="00B34F5F" w:rsidRPr="00BA20E6">
        <w:rPr>
          <w:rFonts w:ascii="標楷體" w:eastAsia="標楷體" w:hint="eastAsia"/>
          <w:bCs/>
        </w:rPr>
        <w:t>,</w:t>
      </w:r>
      <w:r w:rsidR="00FA20F8" w:rsidRPr="00BA20E6">
        <w:rPr>
          <w:rFonts w:ascii="標楷體" w:eastAsia="標楷體" w:hint="eastAsia"/>
          <w:bCs/>
        </w:rPr>
        <w:t>811</w:t>
      </w:r>
      <w:r w:rsidR="00B34F5F" w:rsidRPr="00BA20E6">
        <w:rPr>
          <w:rFonts w:ascii="標楷體" w:eastAsia="標楷體" w:hint="eastAsia"/>
          <w:bCs/>
        </w:rPr>
        <w:t>元</w:t>
      </w:r>
      <w:r w:rsidRPr="00BA20E6">
        <w:rPr>
          <w:rFonts w:ascii="標楷體" w:eastAsia="標楷體" w:hint="eastAsia"/>
          <w:bCs/>
        </w:rPr>
        <w:t>，</w:t>
      </w:r>
      <w:r w:rsidR="00B34F5F" w:rsidRPr="00BA20E6">
        <w:rPr>
          <w:rFonts w:ascii="標楷體" w:eastAsia="標楷體" w:hint="eastAsia"/>
          <w:bCs/>
        </w:rPr>
        <w:t>連同前期未分配賸餘</w:t>
      </w:r>
      <w:r w:rsidR="00FA20F8" w:rsidRPr="00BA20E6">
        <w:rPr>
          <w:rFonts w:ascii="標楷體" w:eastAsia="標楷體" w:hint="eastAsia"/>
          <w:bCs/>
        </w:rPr>
        <w:t>2</w:t>
      </w:r>
      <w:r w:rsidR="00935485" w:rsidRPr="00BA20E6">
        <w:rPr>
          <w:rFonts w:ascii="標楷體" w:eastAsia="標楷體" w:hint="eastAsia"/>
          <w:bCs/>
        </w:rPr>
        <w:t>,</w:t>
      </w:r>
      <w:r w:rsidR="00FA20F8" w:rsidRPr="00BA20E6">
        <w:rPr>
          <w:rFonts w:ascii="標楷體" w:eastAsia="標楷體" w:hint="eastAsia"/>
          <w:bCs/>
        </w:rPr>
        <w:t>903</w:t>
      </w:r>
      <w:r w:rsidR="00935485" w:rsidRPr="00BA20E6">
        <w:rPr>
          <w:rFonts w:ascii="標楷體" w:eastAsia="標楷體" w:hint="eastAsia"/>
          <w:bCs/>
        </w:rPr>
        <w:t>,</w:t>
      </w:r>
      <w:r w:rsidR="00FA20F8" w:rsidRPr="00BA20E6">
        <w:rPr>
          <w:rFonts w:ascii="標楷體" w:eastAsia="標楷體" w:hint="eastAsia"/>
          <w:bCs/>
        </w:rPr>
        <w:t>172</w:t>
      </w:r>
      <w:r w:rsidR="00935485" w:rsidRPr="00BA20E6">
        <w:rPr>
          <w:rFonts w:ascii="標楷體" w:eastAsia="標楷體" w:hint="eastAsia"/>
          <w:bCs/>
        </w:rPr>
        <w:t>元</w:t>
      </w:r>
      <w:r w:rsidR="00FA20F8" w:rsidRPr="00BA20E6">
        <w:rPr>
          <w:rFonts w:ascii="標楷體" w:eastAsia="標楷體" w:hint="eastAsia"/>
          <w:bCs/>
        </w:rPr>
        <w:t>及公積轉列數4,489,000元</w:t>
      </w:r>
      <w:r w:rsidR="00B34F5F" w:rsidRPr="00BA20E6">
        <w:rPr>
          <w:rFonts w:ascii="標楷體" w:eastAsia="標楷體" w:hint="eastAsia"/>
          <w:bCs/>
        </w:rPr>
        <w:t>，合計賸餘</w:t>
      </w:r>
      <w:r w:rsidR="00FA20F8" w:rsidRPr="00BA20E6">
        <w:rPr>
          <w:rFonts w:ascii="標楷體" w:eastAsia="標楷體" w:hint="eastAsia"/>
          <w:bCs/>
        </w:rPr>
        <w:t>7</w:t>
      </w:r>
      <w:r w:rsidR="00B34F5F" w:rsidRPr="00BA20E6">
        <w:rPr>
          <w:rFonts w:ascii="標楷體" w:eastAsia="標楷體" w:hint="eastAsia"/>
          <w:bCs/>
        </w:rPr>
        <w:t>,</w:t>
      </w:r>
      <w:r w:rsidR="00FA20F8" w:rsidRPr="00BA20E6">
        <w:rPr>
          <w:rFonts w:ascii="標楷體" w:eastAsia="標楷體" w:hint="eastAsia"/>
          <w:bCs/>
        </w:rPr>
        <w:t>419</w:t>
      </w:r>
      <w:r w:rsidR="00B34F5F" w:rsidRPr="00BA20E6">
        <w:rPr>
          <w:rFonts w:ascii="標楷體" w:eastAsia="標楷體" w:hint="eastAsia"/>
          <w:bCs/>
        </w:rPr>
        <w:t>,</w:t>
      </w:r>
      <w:r w:rsidR="00FA20F8" w:rsidRPr="00BA20E6">
        <w:rPr>
          <w:rFonts w:ascii="標楷體" w:eastAsia="標楷體" w:hint="eastAsia"/>
          <w:bCs/>
        </w:rPr>
        <w:t>983</w:t>
      </w:r>
      <w:r w:rsidR="00B34F5F" w:rsidRPr="00BA20E6">
        <w:rPr>
          <w:rFonts w:ascii="標楷體" w:eastAsia="標楷體" w:hint="eastAsia"/>
          <w:bCs/>
        </w:rPr>
        <w:t>元，</w:t>
      </w:r>
      <w:r w:rsidR="00935485" w:rsidRPr="00BA20E6">
        <w:rPr>
          <w:rFonts w:ascii="標楷體" w:eastAsia="標楷體" w:hint="eastAsia"/>
          <w:bCs/>
        </w:rPr>
        <w:t>經</w:t>
      </w:r>
      <w:proofErr w:type="gramStart"/>
      <w:r w:rsidR="00211822" w:rsidRPr="00BA20E6">
        <w:rPr>
          <w:rFonts w:ascii="標楷體" w:eastAsia="標楷體" w:hint="eastAsia"/>
          <w:bCs/>
        </w:rPr>
        <w:t>解繳公庫</w:t>
      </w:r>
      <w:proofErr w:type="gramEnd"/>
      <w:r w:rsidR="003E2CE8" w:rsidRPr="00BA20E6">
        <w:rPr>
          <w:rFonts w:ascii="標楷體" w:eastAsia="標楷體" w:hint="eastAsia"/>
          <w:bCs/>
        </w:rPr>
        <w:t>7</w:t>
      </w:r>
      <w:r w:rsidR="00211822" w:rsidRPr="00BA20E6">
        <w:rPr>
          <w:rFonts w:ascii="標楷體" w:eastAsia="標楷體" w:hint="eastAsia"/>
          <w:bCs/>
        </w:rPr>
        <w:t>,</w:t>
      </w:r>
      <w:r w:rsidR="003E2CE8" w:rsidRPr="00BA20E6">
        <w:rPr>
          <w:rFonts w:ascii="標楷體" w:eastAsia="標楷體" w:hint="eastAsia"/>
          <w:bCs/>
        </w:rPr>
        <w:t>288</w:t>
      </w:r>
      <w:r w:rsidR="00211822" w:rsidRPr="00BA20E6">
        <w:rPr>
          <w:rFonts w:ascii="標楷體" w:eastAsia="標楷體" w:hint="eastAsia"/>
          <w:bCs/>
        </w:rPr>
        <w:t>,</w:t>
      </w:r>
      <w:r w:rsidR="003E2CE8" w:rsidRPr="00BA20E6">
        <w:rPr>
          <w:rFonts w:ascii="標楷體" w:eastAsia="標楷體" w:hint="eastAsia"/>
          <w:bCs/>
        </w:rPr>
        <w:t>983</w:t>
      </w:r>
      <w:r w:rsidR="00211822" w:rsidRPr="00BA20E6">
        <w:rPr>
          <w:rFonts w:ascii="標楷體" w:eastAsia="標楷體" w:hint="eastAsia"/>
          <w:bCs/>
        </w:rPr>
        <w:t>元後，尚有未分配賸餘</w:t>
      </w:r>
      <w:r w:rsidR="003E2CE8" w:rsidRPr="00BA20E6">
        <w:rPr>
          <w:rFonts w:ascii="標楷體" w:eastAsia="標楷體" w:hint="eastAsia"/>
          <w:bCs/>
        </w:rPr>
        <w:t>131</w:t>
      </w:r>
      <w:r w:rsidR="00211822" w:rsidRPr="00BA20E6">
        <w:rPr>
          <w:rFonts w:ascii="標楷體" w:eastAsia="標楷體" w:hint="eastAsia"/>
          <w:bCs/>
        </w:rPr>
        <w:t>,</w:t>
      </w:r>
      <w:r w:rsidR="003E2CE8" w:rsidRPr="00BA20E6">
        <w:rPr>
          <w:rFonts w:ascii="標楷體" w:eastAsia="標楷體" w:hint="eastAsia"/>
          <w:bCs/>
        </w:rPr>
        <w:t>000</w:t>
      </w:r>
      <w:r w:rsidR="00211822" w:rsidRPr="00BA20E6">
        <w:rPr>
          <w:rFonts w:ascii="標楷體" w:eastAsia="標楷體" w:hint="eastAsia"/>
          <w:bCs/>
        </w:rPr>
        <w:t>元</w:t>
      </w:r>
      <w:r w:rsidRPr="00BA20E6">
        <w:rPr>
          <w:rFonts w:ascii="標楷體" w:eastAsia="標楷體" w:hint="eastAsia"/>
          <w:bCs/>
        </w:rPr>
        <w:t>。</w:t>
      </w:r>
    </w:p>
    <w:p w:rsidR="00EF54D5" w:rsidRPr="00BA20E6" w:rsidRDefault="00EF54D5" w:rsidP="001746E5">
      <w:pPr>
        <w:overflowPunct w:val="0"/>
        <w:spacing w:line="520" w:lineRule="exact"/>
        <w:ind w:firstLineChars="450" w:firstLine="1261"/>
        <w:jc w:val="both"/>
        <w:outlineLvl w:val="0"/>
        <w:rPr>
          <w:rFonts w:ascii="標楷體" w:eastAsia="標楷體"/>
          <w:b/>
          <w:bCs/>
          <w:sz w:val="28"/>
        </w:rPr>
      </w:pPr>
      <w:r w:rsidRPr="00BA20E6">
        <w:rPr>
          <w:rFonts w:ascii="標楷體" w:eastAsia="標楷體" w:hint="eastAsia"/>
          <w:b/>
          <w:bCs/>
          <w:sz w:val="28"/>
        </w:rPr>
        <w:t>4.　現金流量之查核</w:t>
      </w:r>
    </w:p>
    <w:p w:rsidR="00EF54D5" w:rsidRPr="00BA20E6" w:rsidRDefault="00A607A9" w:rsidP="004714C4">
      <w:pPr>
        <w:widowControl/>
        <w:overflowPunct w:val="0"/>
        <w:spacing w:line="520" w:lineRule="exact"/>
        <w:ind w:firstLineChars="200" w:firstLine="480"/>
        <w:jc w:val="both"/>
        <w:rPr>
          <w:rFonts w:ascii="標楷體" w:eastAsia="標楷體" w:hAnsi="標楷體" w:cs="標楷體"/>
        </w:rPr>
      </w:pPr>
      <w:proofErr w:type="gramStart"/>
      <w:r w:rsidRPr="00BA20E6">
        <w:rPr>
          <w:rFonts w:ascii="標楷體" w:eastAsia="標楷體" w:hAnsi="標楷體" w:cs="標楷體" w:hint="eastAsia"/>
        </w:rPr>
        <w:t>10</w:t>
      </w:r>
      <w:r w:rsidR="003E2CE8" w:rsidRPr="00BA20E6">
        <w:rPr>
          <w:rFonts w:ascii="標楷體" w:eastAsia="標楷體" w:hAnsi="標楷體" w:cs="標楷體" w:hint="eastAsia"/>
        </w:rPr>
        <w:t>9</w:t>
      </w:r>
      <w:proofErr w:type="gramEnd"/>
      <w:r w:rsidR="00EF54D5" w:rsidRPr="00BA20E6">
        <w:rPr>
          <w:rFonts w:ascii="標楷體" w:eastAsia="標楷體" w:hAnsi="標楷體" w:cs="標楷體" w:hint="eastAsia"/>
        </w:rPr>
        <w:t>年度期初現金及約當現金</w:t>
      </w:r>
      <w:r w:rsidR="004318C3" w:rsidRPr="00BA20E6">
        <w:rPr>
          <w:rFonts w:ascii="標楷體" w:eastAsia="標楷體" w:hAnsi="標楷體" w:cs="標楷體" w:hint="eastAsia"/>
        </w:rPr>
        <w:t>9</w:t>
      </w:r>
      <w:r w:rsidR="003E2CE8" w:rsidRPr="00BA20E6">
        <w:rPr>
          <w:rFonts w:ascii="標楷體" w:eastAsia="標楷體" w:hAnsi="標楷體" w:cs="標楷體" w:hint="eastAsia"/>
        </w:rPr>
        <w:t>9</w:t>
      </w:r>
      <w:r w:rsidR="0061316F" w:rsidRPr="00BA20E6">
        <w:rPr>
          <w:rFonts w:ascii="標楷體" w:eastAsia="標楷體" w:hAnsi="標楷體" w:cs="標楷體" w:hint="eastAsia"/>
        </w:rPr>
        <w:t>億</w:t>
      </w:r>
      <w:r w:rsidR="003E2CE8" w:rsidRPr="00BA20E6">
        <w:rPr>
          <w:rFonts w:ascii="標楷體" w:eastAsia="標楷體" w:hAnsi="標楷體" w:cs="標楷體" w:hint="eastAsia"/>
        </w:rPr>
        <w:t>4</w:t>
      </w:r>
      <w:r w:rsidR="0061316F" w:rsidRPr="00BA20E6">
        <w:rPr>
          <w:rFonts w:ascii="標楷體" w:eastAsia="標楷體" w:hAnsi="標楷體" w:cs="標楷體" w:hint="eastAsia"/>
        </w:rPr>
        <w:t>,</w:t>
      </w:r>
      <w:r w:rsidR="003E2CE8" w:rsidRPr="00BA20E6">
        <w:rPr>
          <w:rFonts w:ascii="標楷體" w:eastAsia="標楷體" w:hAnsi="標楷體" w:cs="標楷體" w:hint="eastAsia"/>
        </w:rPr>
        <w:t>181</w:t>
      </w:r>
      <w:r w:rsidR="00F27222" w:rsidRPr="00BA20E6">
        <w:rPr>
          <w:rFonts w:ascii="標楷體" w:eastAsia="標楷體" w:hAnsi="標楷體" w:cs="標楷體" w:hint="eastAsia"/>
        </w:rPr>
        <w:t>萬餘元</w:t>
      </w:r>
      <w:r w:rsidR="00EF54D5" w:rsidRPr="00BA20E6">
        <w:rPr>
          <w:rFonts w:ascii="標楷體" w:eastAsia="標楷體" w:hAnsi="標楷體" w:cs="標楷體" w:hint="eastAsia"/>
        </w:rPr>
        <w:t>，經業務、投資及</w:t>
      </w:r>
      <w:r w:rsidR="0025120E" w:rsidRPr="00BA20E6">
        <w:rPr>
          <w:rFonts w:ascii="標楷體" w:eastAsia="標楷體" w:hAnsi="標楷體" w:cs="標楷體" w:hint="eastAsia"/>
        </w:rPr>
        <w:t>籌</w:t>
      </w:r>
      <w:r w:rsidR="00EF54D5" w:rsidRPr="00BA20E6">
        <w:rPr>
          <w:rFonts w:ascii="標楷體" w:eastAsia="標楷體" w:hAnsi="標楷體" w:cs="標楷體" w:hint="eastAsia"/>
        </w:rPr>
        <w:t>資活動結果，現金及約當現金</w:t>
      </w:r>
      <w:r w:rsidR="00F27222" w:rsidRPr="00BA20E6">
        <w:rPr>
          <w:rFonts w:ascii="標楷體" w:eastAsia="標楷體" w:hAnsi="標楷體" w:cs="標楷體" w:hint="eastAsia"/>
        </w:rPr>
        <w:t>淨</w:t>
      </w:r>
      <w:r w:rsidR="00A75318" w:rsidRPr="00BA20E6">
        <w:rPr>
          <w:rFonts w:ascii="標楷體" w:eastAsia="標楷體" w:hAnsi="標楷體" w:cs="標楷體" w:hint="eastAsia"/>
        </w:rPr>
        <w:t>增24</w:t>
      </w:r>
      <w:r w:rsidR="00F27222" w:rsidRPr="00BA20E6">
        <w:rPr>
          <w:rFonts w:ascii="標楷體" w:eastAsia="標楷體" w:hAnsi="標楷體" w:cs="標楷體" w:hint="eastAsia"/>
        </w:rPr>
        <w:t>億</w:t>
      </w:r>
      <w:r w:rsidR="00A75318" w:rsidRPr="00BA20E6">
        <w:rPr>
          <w:rFonts w:ascii="標楷體" w:eastAsia="標楷體" w:hAnsi="標楷體" w:cs="標楷體" w:hint="eastAsia"/>
        </w:rPr>
        <w:t>4</w:t>
      </w:r>
      <w:r w:rsidR="00F27222" w:rsidRPr="00BA20E6">
        <w:rPr>
          <w:rFonts w:ascii="標楷體" w:eastAsia="標楷體" w:hAnsi="標楷體" w:cs="標楷體" w:hint="eastAsia"/>
        </w:rPr>
        <w:t>,</w:t>
      </w:r>
      <w:r w:rsidR="00A75318" w:rsidRPr="00BA20E6">
        <w:rPr>
          <w:rFonts w:ascii="標楷體" w:eastAsia="標楷體" w:hAnsi="標楷體" w:cs="標楷體" w:hint="eastAsia"/>
        </w:rPr>
        <w:t>022</w:t>
      </w:r>
      <w:r w:rsidR="00F27222" w:rsidRPr="00BA20E6">
        <w:rPr>
          <w:rFonts w:ascii="標楷體" w:eastAsia="標楷體" w:hAnsi="標楷體" w:cs="標楷體" w:hint="eastAsia"/>
        </w:rPr>
        <w:t>萬餘元</w:t>
      </w:r>
      <w:r w:rsidR="00EF54D5" w:rsidRPr="00BA20E6">
        <w:rPr>
          <w:rFonts w:ascii="標楷體" w:eastAsia="標楷體" w:hAnsi="標楷體" w:cs="標楷體" w:hint="eastAsia"/>
        </w:rPr>
        <w:t>，期末現金及約當現金為</w:t>
      </w:r>
      <w:r w:rsidR="00A75318" w:rsidRPr="00BA20E6">
        <w:rPr>
          <w:rFonts w:ascii="標楷體" w:eastAsia="標楷體" w:hAnsi="標楷體" w:cs="標楷體" w:hint="eastAsia"/>
        </w:rPr>
        <w:t>123</w:t>
      </w:r>
      <w:r w:rsidR="00F27222" w:rsidRPr="00BA20E6">
        <w:rPr>
          <w:rFonts w:ascii="標楷體" w:eastAsia="標楷體" w:hAnsi="標楷體" w:cs="標楷體" w:hint="eastAsia"/>
        </w:rPr>
        <w:t>億</w:t>
      </w:r>
      <w:r w:rsidR="00A75318" w:rsidRPr="00BA20E6">
        <w:rPr>
          <w:rFonts w:ascii="標楷體" w:eastAsia="標楷體" w:hAnsi="標楷體" w:cs="標楷體" w:hint="eastAsia"/>
        </w:rPr>
        <w:t>8</w:t>
      </w:r>
      <w:r w:rsidR="00F27222" w:rsidRPr="00BA20E6">
        <w:rPr>
          <w:rFonts w:ascii="標楷體" w:eastAsia="標楷體" w:hAnsi="標楷體" w:cs="標楷體" w:hint="eastAsia"/>
        </w:rPr>
        <w:t>,</w:t>
      </w:r>
      <w:r w:rsidR="00A75318" w:rsidRPr="00BA20E6">
        <w:rPr>
          <w:rFonts w:ascii="標楷體" w:eastAsia="標楷體" w:hAnsi="標楷體" w:cs="標楷體" w:hint="eastAsia"/>
        </w:rPr>
        <w:t>204</w:t>
      </w:r>
      <w:r w:rsidR="00F27222" w:rsidRPr="00BA20E6">
        <w:rPr>
          <w:rFonts w:ascii="標楷體" w:eastAsia="標楷體" w:hAnsi="標楷體" w:cs="標楷體" w:hint="eastAsia"/>
        </w:rPr>
        <w:t>萬餘元</w:t>
      </w:r>
      <w:r w:rsidR="00EF54D5" w:rsidRPr="00BA20E6">
        <w:rPr>
          <w:rFonts w:ascii="標楷體" w:eastAsia="標楷體" w:hAnsi="標楷體" w:cs="標楷體" w:hint="eastAsia"/>
        </w:rPr>
        <w:t>；其現金及約當現金</w:t>
      </w:r>
      <w:proofErr w:type="gramStart"/>
      <w:r w:rsidR="00F27222" w:rsidRPr="00BA20E6">
        <w:rPr>
          <w:rFonts w:ascii="標楷體" w:eastAsia="標楷體" w:hAnsi="標楷體" w:cs="標楷體" w:hint="eastAsia"/>
        </w:rPr>
        <w:t>淨</w:t>
      </w:r>
      <w:r w:rsidR="00A75318" w:rsidRPr="00BA20E6">
        <w:rPr>
          <w:rFonts w:ascii="標楷體" w:eastAsia="標楷體" w:hAnsi="標楷體" w:cs="標楷體" w:hint="eastAsia"/>
        </w:rPr>
        <w:t>增</w:t>
      </w:r>
      <w:r w:rsidR="00F27222" w:rsidRPr="00BA20E6">
        <w:rPr>
          <w:rFonts w:ascii="標楷體" w:eastAsia="標楷體" w:hAnsi="標楷體" w:cs="標楷體" w:hint="eastAsia"/>
        </w:rPr>
        <w:t>數</w:t>
      </w:r>
      <w:r w:rsidR="00A75318" w:rsidRPr="00BA20E6">
        <w:rPr>
          <w:rFonts w:ascii="標楷體" w:eastAsia="標楷體" w:hAnsi="標楷體" w:cs="標楷體" w:hint="eastAsia"/>
        </w:rPr>
        <w:t>較</w:t>
      </w:r>
      <w:proofErr w:type="gramEnd"/>
      <w:r w:rsidR="00F27222" w:rsidRPr="00BA20E6">
        <w:rPr>
          <w:rFonts w:ascii="標楷體" w:eastAsia="標楷體" w:hAnsi="標楷體" w:cs="標楷體" w:hint="eastAsia"/>
        </w:rPr>
        <w:t>預算</w:t>
      </w:r>
      <w:proofErr w:type="gramStart"/>
      <w:r w:rsidR="00A75318" w:rsidRPr="00BA20E6">
        <w:rPr>
          <w:rFonts w:ascii="標楷體" w:eastAsia="標楷體" w:hAnsi="標楷體" w:cs="標楷體" w:hint="eastAsia"/>
        </w:rPr>
        <w:t>淨增數51億</w:t>
      </w:r>
      <w:proofErr w:type="gramEnd"/>
      <w:r w:rsidR="00A75318" w:rsidRPr="00BA20E6">
        <w:rPr>
          <w:rFonts w:ascii="標楷體" w:eastAsia="標楷體" w:hAnsi="標楷體" w:cs="標楷體" w:hint="eastAsia"/>
        </w:rPr>
        <w:t>2,394萬餘元，減少26</w:t>
      </w:r>
      <w:r w:rsidR="00F27222" w:rsidRPr="00BA20E6">
        <w:rPr>
          <w:rFonts w:ascii="標楷體" w:eastAsia="標楷體" w:hAnsi="標楷體" w:cs="標楷體" w:hint="eastAsia"/>
        </w:rPr>
        <w:t>億</w:t>
      </w:r>
      <w:r w:rsidR="00A75318" w:rsidRPr="00BA20E6">
        <w:rPr>
          <w:rFonts w:ascii="標楷體" w:eastAsia="標楷體" w:hAnsi="標楷體" w:cs="標楷體" w:hint="eastAsia"/>
        </w:rPr>
        <w:t>8</w:t>
      </w:r>
      <w:r w:rsidR="004318C3" w:rsidRPr="00BA20E6">
        <w:rPr>
          <w:rFonts w:ascii="標楷體" w:eastAsia="標楷體" w:hAnsi="標楷體" w:cs="標楷體" w:hint="eastAsia"/>
        </w:rPr>
        <w:t>,</w:t>
      </w:r>
      <w:r w:rsidR="00A75318" w:rsidRPr="00BA20E6">
        <w:rPr>
          <w:rFonts w:ascii="標楷體" w:eastAsia="標楷體" w:hAnsi="標楷體" w:cs="標楷體" w:hint="eastAsia"/>
        </w:rPr>
        <w:t>371</w:t>
      </w:r>
      <w:r w:rsidR="004318C3" w:rsidRPr="00BA20E6">
        <w:rPr>
          <w:rFonts w:ascii="標楷體" w:eastAsia="標楷體" w:hAnsi="標楷體" w:cs="標楷體" w:hint="eastAsia"/>
        </w:rPr>
        <w:t>萬</w:t>
      </w:r>
      <w:r w:rsidR="00A75318" w:rsidRPr="00BA20E6">
        <w:rPr>
          <w:rFonts w:ascii="標楷體" w:eastAsia="標楷體" w:hAnsi="標楷體" w:cs="標楷體" w:hint="eastAsia"/>
        </w:rPr>
        <w:t>餘</w:t>
      </w:r>
      <w:r w:rsidR="00F27222" w:rsidRPr="00BA20E6">
        <w:rPr>
          <w:rFonts w:ascii="標楷體" w:eastAsia="標楷體" w:hAnsi="標楷體" w:cs="標楷體" w:hint="eastAsia"/>
        </w:rPr>
        <w:t>元，</w:t>
      </w:r>
      <w:r w:rsidR="009C448D" w:rsidRPr="00BA20E6">
        <w:rPr>
          <w:rFonts w:ascii="標楷體" w:eastAsia="標楷體" w:hAnsi="標楷體" w:cs="標楷體" w:hint="eastAsia"/>
        </w:rPr>
        <w:t>主要</w:t>
      </w:r>
      <w:r w:rsidR="00086550" w:rsidRPr="00BA20E6">
        <w:rPr>
          <w:rFonts w:ascii="標楷體" w:eastAsia="標楷體" w:hAnsi="標楷體" w:cs="標楷體" w:hint="eastAsia"/>
        </w:rPr>
        <w:t>係</w:t>
      </w:r>
      <w:r w:rsidR="00A75318" w:rsidRPr="00BA20E6">
        <w:rPr>
          <w:rFonts w:ascii="標楷體" w:eastAsia="標楷體" w:hAnsi="標楷體" w:cs="標楷體" w:hint="eastAsia"/>
        </w:rPr>
        <w:t>因應</w:t>
      </w:r>
      <w:proofErr w:type="gramStart"/>
      <w:r w:rsidR="00A75318" w:rsidRPr="00BA20E6">
        <w:rPr>
          <w:rFonts w:ascii="標楷體" w:eastAsia="標楷體" w:hAnsi="標楷體" w:cs="標楷體" w:hint="eastAsia"/>
        </w:rPr>
        <w:t>新型冠</w:t>
      </w:r>
      <w:proofErr w:type="gramEnd"/>
      <w:r w:rsidR="00A75318" w:rsidRPr="00BA20E6">
        <w:rPr>
          <w:rFonts w:ascii="標楷體" w:eastAsia="標楷體" w:hAnsi="標楷體" w:cs="標楷體" w:hint="eastAsia"/>
        </w:rPr>
        <w:t>狀病毒肺炎</w:t>
      </w:r>
      <w:r w:rsidR="00C224E5" w:rsidRPr="00BA20E6">
        <w:rPr>
          <w:rFonts w:ascii="標楷體" w:eastAsia="標楷體" w:hAnsi="標楷體" w:cs="標楷體" w:hint="eastAsia"/>
        </w:rPr>
        <w:t>（COVID－19）</w:t>
      </w:r>
      <w:proofErr w:type="gramStart"/>
      <w:r w:rsidR="00A75318" w:rsidRPr="00BA20E6">
        <w:rPr>
          <w:rFonts w:ascii="標楷體" w:eastAsia="標楷體" w:hAnsi="標楷體" w:cs="標楷體" w:hint="eastAsia"/>
        </w:rPr>
        <w:t>疫</w:t>
      </w:r>
      <w:proofErr w:type="gramEnd"/>
      <w:r w:rsidR="00A75318" w:rsidRPr="00BA20E6">
        <w:rPr>
          <w:rFonts w:ascii="標楷體" w:eastAsia="標楷體" w:hAnsi="標楷體" w:cs="標楷體" w:hint="eastAsia"/>
        </w:rPr>
        <w:t>情辦理提升暫付金額方案，其他應收款較預計增加，業務活動之淨現金流出增加所致。</w:t>
      </w:r>
    </w:p>
    <w:p w:rsidR="0050615E" w:rsidRPr="00BA20E6" w:rsidRDefault="0050615E" w:rsidP="001746E5">
      <w:pPr>
        <w:overflowPunct w:val="0"/>
        <w:spacing w:line="460" w:lineRule="exact"/>
        <w:ind w:firstLineChars="450" w:firstLine="1261"/>
        <w:jc w:val="both"/>
        <w:outlineLvl w:val="0"/>
        <w:rPr>
          <w:rFonts w:ascii="標楷體" w:eastAsia="標楷體"/>
          <w:b/>
          <w:bCs/>
          <w:sz w:val="28"/>
        </w:rPr>
      </w:pPr>
      <w:r w:rsidRPr="00BA20E6">
        <w:rPr>
          <w:rFonts w:ascii="標楷體" w:eastAsia="標楷體" w:hint="eastAsia"/>
          <w:b/>
          <w:bCs/>
          <w:sz w:val="28"/>
        </w:rPr>
        <w:lastRenderedPageBreak/>
        <w:t>5.　重要審核意見</w:t>
      </w:r>
    </w:p>
    <w:p w:rsidR="0050615E" w:rsidRPr="00BA20E6" w:rsidRDefault="00D736EF" w:rsidP="00CD6BA4">
      <w:pPr>
        <w:pStyle w:val="af9"/>
        <w:overflowPunct w:val="0"/>
        <w:spacing w:beforeLines="0" w:before="0" w:afterLines="0" w:after="0" w:line="480" w:lineRule="exact"/>
        <w:ind w:firstLineChars="450" w:firstLine="1261"/>
        <w:rPr>
          <w:rFonts w:ascii="標楷體" w:hAnsi="標楷體"/>
          <w:bCs w:val="0"/>
          <w:kern w:val="0"/>
        </w:rPr>
      </w:pPr>
      <w:r w:rsidRPr="00BA20E6">
        <w:rPr>
          <w:rFonts w:ascii="標楷體" w:hAnsi="標楷體" w:hint="eastAsia"/>
          <w:bCs w:val="0"/>
          <w:kern w:val="0"/>
        </w:rPr>
        <w:t xml:space="preserve">（1）　</w:t>
      </w:r>
      <w:r w:rsidR="00430E87" w:rsidRPr="00BA20E6">
        <w:rPr>
          <w:rFonts w:ascii="標楷體" w:hAnsi="標楷體" w:hint="eastAsia"/>
          <w:bCs w:val="0"/>
          <w:kern w:val="0"/>
        </w:rPr>
        <w:t>中央健康</w:t>
      </w:r>
      <w:proofErr w:type="gramStart"/>
      <w:r w:rsidR="00430E87" w:rsidRPr="00BA20E6">
        <w:rPr>
          <w:rFonts w:ascii="標楷體" w:hAnsi="標楷體" w:hint="eastAsia"/>
          <w:bCs w:val="0"/>
          <w:kern w:val="0"/>
        </w:rPr>
        <w:t>保險署</w:t>
      </w:r>
      <w:proofErr w:type="gramEnd"/>
      <w:r w:rsidR="00430E87" w:rsidRPr="00BA20E6">
        <w:rPr>
          <w:rFonts w:ascii="標楷體" w:hAnsi="標楷體" w:hint="eastAsia"/>
          <w:bCs w:val="0"/>
          <w:kern w:val="0"/>
        </w:rPr>
        <w:t>為改善醫療資源配置失衡情形，鼓勵院所推動醫療體系垂直整合，落實雙向轉診，惟醫療院所間之</w:t>
      </w:r>
      <w:proofErr w:type="gramStart"/>
      <w:r w:rsidR="00430E87" w:rsidRPr="00BA20E6">
        <w:rPr>
          <w:rFonts w:ascii="標楷體" w:hAnsi="標楷體" w:hint="eastAsia"/>
          <w:bCs w:val="0"/>
          <w:kern w:val="0"/>
        </w:rPr>
        <w:t>轉診仍偏重</w:t>
      </w:r>
      <w:proofErr w:type="gramEnd"/>
      <w:r w:rsidR="00430E87" w:rsidRPr="00BA20E6">
        <w:rPr>
          <w:rFonts w:ascii="標楷體" w:hAnsi="標楷體" w:hint="eastAsia"/>
          <w:bCs w:val="0"/>
          <w:kern w:val="0"/>
        </w:rPr>
        <w:t>單向轉診，且地區醫院醫療量能未顯著提升，與所訂政策目標尚有落差，允宜</w:t>
      </w:r>
      <w:proofErr w:type="gramStart"/>
      <w:r w:rsidR="00430E87" w:rsidRPr="00BA20E6">
        <w:rPr>
          <w:rFonts w:ascii="標楷體" w:hAnsi="標楷體" w:hint="eastAsia"/>
          <w:bCs w:val="0"/>
          <w:kern w:val="0"/>
        </w:rPr>
        <w:t>研</w:t>
      </w:r>
      <w:proofErr w:type="gramEnd"/>
      <w:r w:rsidR="00430E87" w:rsidRPr="00BA20E6">
        <w:rPr>
          <w:rFonts w:ascii="標楷體" w:hAnsi="標楷體" w:hint="eastAsia"/>
          <w:bCs w:val="0"/>
          <w:kern w:val="0"/>
        </w:rPr>
        <w:t>謀改善，以促進醫療體系永續發展。</w:t>
      </w:r>
    </w:p>
    <w:p w:rsidR="0050615E" w:rsidRPr="00BA20E6" w:rsidRDefault="00430E87" w:rsidP="00CD6BA4">
      <w:pPr>
        <w:pStyle w:val="af9"/>
        <w:overflowPunct w:val="0"/>
        <w:spacing w:beforeLines="0" w:before="0" w:afterLines="0" w:after="0" w:line="480" w:lineRule="exact"/>
        <w:ind w:firstLine="480"/>
        <w:rPr>
          <w:rFonts w:ascii="標楷體" w:hAnsi="標楷體"/>
          <w:b w:val="0"/>
          <w:sz w:val="24"/>
          <w:szCs w:val="24"/>
        </w:rPr>
      </w:pPr>
      <w:r w:rsidRPr="00BA20E6">
        <w:rPr>
          <w:rFonts w:ascii="標楷體" w:hAnsi="標楷體" w:hint="eastAsia"/>
          <w:b w:val="0"/>
          <w:sz w:val="24"/>
          <w:szCs w:val="24"/>
        </w:rPr>
        <w:t>按全民健康保險統計資料，全國醫院設置之家數，自85年底之609家減少至108年底之473家，其中醫學中心、區域醫院自13家、52家，增加為25家、82家，地區醫院則由544家減少為366家。又地區醫院醫療費用占所有醫院之比率，自85年之31.56％下降至108年之19.10％，醫療體系呈現醫院大型化發展，而社區醫療萎縮之趨勢。衛生</w:t>
      </w:r>
      <w:proofErr w:type="gramStart"/>
      <w:r w:rsidRPr="00BA20E6">
        <w:rPr>
          <w:rFonts w:ascii="標楷體" w:hAnsi="標楷體" w:hint="eastAsia"/>
          <w:b w:val="0"/>
          <w:sz w:val="24"/>
          <w:szCs w:val="24"/>
        </w:rPr>
        <w:t>福利部及中央</w:t>
      </w:r>
      <w:proofErr w:type="gramEnd"/>
      <w:r w:rsidRPr="00BA20E6">
        <w:rPr>
          <w:rFonts w:ascii="標楷體" w:hAnsi="標楷體" w:hint="eastAsia"/>
          <w:b w:val="0"/>
          <w:sz w:val="24"/>
          <w:szCs w:val="24"/>
        </w:rPr>
        <w:t>健康</w:t>
      </w:r>
      <w:proofErr w:type="gramStart"/>
      <w:r w:rsidRPr="00BA20E6">
        <w:rPr>
          <w:rFonts w:ascii="標楷體" w:hAnsi="標楷體" w:hint="eastAsia"/>
          <w:b w:val="0"/>
          <w:sz w:val="24"/>
          <w:szCs w:val="24"/>
        </w:rPr>
        <w:t>保險署</w:t>
      </w:r>
      <w:proofErr w:type="gramEnd"/>
      <w:r w:rsidRPr="00BA20E6">
        <w:rPr>
          <w:rFonts w:ascii="標楷體" w:hAnsi="標楷體" w:hint="eastAsia"/>
          <w:b w:val="0"/>
          <w:sz w:val="24"/>
          <w:szCs w:val="24"/>
        </w:rPr>
        <w:t>(下稱健保署)為推動分級醫療，改善醫療資源配置失衡情形，藉由鼓勵院所落實雙向轉診及推動醫療體系垂直整合等措施，促使醫療體系均衡發展。經查執行情形，核有下列事項：</w:t>
      </w:r>
    </w:p>
    <w:p w:rsidR="00430E87" w:rsidRPr="00BA20E6" w:rsidRDefault="00430E87" w:rsidP="001746E5">
      <w:pPr>
        <w:pStyle w:val="af9"/>
        <w:overflowPunct w:val="0"/>
        <w:spacing w:beforeLines="0" w:before="0" w:afterLines="0" w:after="0" w:line="460" w:lineRule="exact"/>
        <w:ind w:firstLineChars="700" w:firstLine="1682"/>
        <w:rPr>
          <w:rFonts w:ascii="標楷體" w:hAnsi="標楷體"/>
          <w:sz w:val="24"/>
          <w:szCs w:val="24"/>
        </w:rPr>
      </w:pPr>
      <w:r w:rsidRPr="00BA20E6">
        <w:rPr>
          <w:rFonts w:ascii="標楷體" w:hAnsi="標楷體" w:hint="eastAsia"/>
          <w:sz w:val="24"/>
          <w:szCs w:val="24"/>
        </w:rPr>
        <w:t>A</w:t>
      </w:r>
      <w:r w:rsidRPr="00BA20E6">
        <w:rPr>
          <w:rFonts w:ascii="標楷體" w:hAnsi="標楷體"/>
          <w:sz w:val="24"/>
          <w:szCs w:val="24"/>
        </w:rPr>
        <w:t>.</w:t>
      </w:r>
      <w:r w:rsidR="00BF0F19" w:rsidRPr="00BA20E6">
        <w:rPr>
          <w:rFonts w:ascii="標楷體" w:hAnsi="標楷體" w:hint="eastAsia"/>
          <w:sz w:val="24"/>
          <w:szCs w:val="24"/>
        </w:rPr>
        <w:t xml:space="preserve">　</w:t>
      </w:r>
      <w:r w:rsidRPr="00BA20E6">
        <w:rPr>
          <w:rFonts w:ascii="標楷體" w:hAnsi="標楷體" w:hint="eastAsia"/>
          <w:sz w:val="24"/>
          <w:szCs w:val="24"/>
        </w:rPr>
        <w:t>健保署推動醫療體系垂直整合，鼓勵各醫院成立策略聯盟，惟策略聯盟內之轉診偏重上轉，</w:t>
      </w:r>
      <w:proofErr w:type="gramStart"/>
      <w:r w:rsidRPr="00BA20E6">
        <w:rPr>
          <w:rFonts w:ascii="標楷體" w:hAnsi="標楷體" w:hint="eastAsia"/>
          <w:sz w:val="24"/>
          <w:szCs w:val="24"/>
        </w:rPr>
        <w:t>且下轉案件</w:t>
      </w:r>
      <w:proofErr w:type="gramEnd"/>
      <w:r w:rsidRPr="00BA20E6">
        <w:rPr>
          <w:rFonts w:ascii="標楷體" w:hAnsi="標楷體" w:hint="eastAsia"/>
          <w:sz w:val="24"/>
          <w:szCs w:val="24"/>
        </w:rPr>
        <w:t>占比低於全國及策略聯盟外之占比，雙向轉診成效仍待提升：</w:t>
      </w:r>
      <w:r w:rsidRPr="00BA20E6">
        <w:rPr>
          <w:rFonts w:ascii="標楷體" w:hAnsi="標楷體" w:hint="eastAsia"/>
          <w:b w:val="0"/>
          <w:sz w:val="24"/>
          <w:szCs w:val="24"/>
        </w:rPr>
        <w:t>健保署為促進各層級醫療院所間之雙向轉診，落實分級醫療，自107年起積極推動醫療體系垂直整合，建立各層級醫療院所合作機制。截至109年底止，全國共計組成8</w:t>
      </w:r>
      <w:r w:rsidRPr="00BA20E6">
        <w:rPr>
          <w:rFonts w:ascii="標楷體" w:hAnsi="標楷體"/>
          <w:b w:val="0"/>
          <w:sz w:val="24"/>
          <w:szCs w:val="24"/>
        </w:rPr>
        <w:t>1</w:t>
      </w:r>
      <w:r w:rsidRPr="00BA20E6">
        <w:rPr>
          <w:rFonts w:ascii="標楷體" w:hAnsi="標楷體" w:hint="eastAsia"/>
          <w:b w:val="0"/>
          <w:sz w:val="24"/>
          <w:szCs w:val="24"/>
        </w:rPr>
        <w:t>個策略聯盟，其中有24家醫學中心、82家區域醫院、3</w:t>
      </w:r>
      <w:r w:rsidRPr="00BA20E6">
        <w:rPr>
          <w:rFonts w:ascii="標楷體" w:hAnsi="標楷體"/>
          <w:b w:val="0"/>
          <w:sz w:val="24"/>
          <w:szCs w:val="24"/>
        </w:rPr>
        <w:t>11</w:t>
      </w:r>
      <w:r w:rsidRPr="00BA20E6">
        <w:rPr>
          <w:rFonts w:ascii="標楷體" w:hAnsi="標楷體" w:hint="eastAsia"/>
          <w:b w:val="0"/>
          <w:sz w:val="24"/>
          <w:szCs w:val="24"/>
        </w:rPr>
        <w:t>家地區醫院、6,6</w:t>
      </w:r>
      <w:r w:rsidRPr="00BA20E6">
        <w:rPr>
          <w:rFonts w:ascii="標楷體" w:hAnsi="標楷體"/>
          <w:b w:val="0"/>
          <w:sz w:val="24"/>
          <w:szCs w:val="24"/>
        </w:rPr>
        <w:t>60</w:t>
      </w:r>
      <w:r w:rsidRPr="00BA20E6">
        <w:rPr>
          <w:rFonts w:ascii="標楷體" w:hAnsi="標楷體" w:hint="eastAsia"/>
          <w:b w:val="0"/>
          <w:sz w:val="24"/>
          <w:szCs w:val="24"/>
        </w:rPr>
        <w:t>家診所等參與，藉由團隊進行上下游垂直整合、醫院及診所間分工合作，共同照護病人。</w:t>
      </w:r>
      <w:proofErr w:type="gramStart"/>
      <w:r w:rsidRPr="00BA20E6">
        <w:rPr>
          <w:rFonts w:ascii="標楷體" w:hAnsi="標楷體" w:hint="eastAsia"/>
          <w:b w:val="0"/>
          <w:sz w:val="24"/>
          <w:szCs w:val="24"/>
        </w:rPr>
        <w:t>惟</w:t>
      </w:r>
      <w:proofErr w:type="gramEnd"/>
      <w:r w:rsidRPr="00BA20E6">
        <w:rPr>
          <w:rFonts w:ascii="標楷體" w:hAnsi="標楷體" w:hint="eastAsia"/>
          <w:b w:val="0"/>
          <w:sz w:val="24"/>
          <w:szCs w:val="24"/>
        </w:rPr>
        <w:t>部分健保分區策略聯盟內之轉診比率呈下降趨勢，且策略聯盟推動後，因醫學中心或區域醫院等大型醫院保留就醫名額等措施，使得病患上轉更為便利，進而造成策略聯盟內之轉診偏重上轉</w:t>
      </w:r>
      <w:r w:rsidR="00966443" w:rsidRPr="00966443">
        <w:rPr>
          <w:rFonts w:ascii="標楷體" w:hAnsi="標楷體" w:hint="eastAsia"/>
          <w:b w:val="0"/>
          <w:sz w:val="24"/>
          <w:szCs w:val="24"/>
        </w:rPr>
        <w:t>，109年第2</w:t>
      </w:r>
      <w:proofErr w:type="gramStart"/>
      <w:r w:rsidR="00966443" w:rsidRPr="00966443">
        <w:rPr>
          <w:rFonts w:ascii="標楷體" w:hAnsi="標楷體" w:hint="eastAsia"/>
          <w:b w:val="0"/>
          <w:sz w:val="24"/>
          <w:szCs w:val="24"/>
        </w:rPr>
        <w:t>季下轉</w:t>
      </w:r>
      <w:proofErr w:type="gramEnd"/>
      <w:r w:rsidR="00966443" w:rsidRPr="00966443">
        <w:rPr>
          <w:rFonts w:ascii="標楷體" w:hAnsi="標楷體" w:hint="eastAsia"/>
          <w:b w:val="0"/>
          <w:sz w:val="24"/>
          <w:szCs w:val="24"/>
        </w:rPr>
        <w:t>案件占比14.26％，低於全國之占比15.24％，亦低於策略聯盟外之占比18.08％</w:t>
      </w:r>
      <w:r w:rsidRPr="00BA20E6">
        <w:rPr>
          <w:rFonts w:ascii="標楷體" w:hAnsi="標楷體" w:hint="eastAsia"/>
          <w:b w:val="0"/>
          <w:sz w:val="24"/>
          <w:szCs w:val="24"/>
        </w:rPr>
        <w:t>。又按各策略聯盟主責醫院說明有關分級醫療及雙向轉診之推動困境，有醫院反映策略聯盟約束力不高，部分病患於醫學中心治癒後，因自覺病情改善或就醫習慣，不願返回原院所持續接受追蹤或就醫，致大型</w:t>
      </w:r>
      <w:proofErr w:type="gramStart"/>
      <w:r w:rsidRPr="00BA20E6">
        <w:rPr>
          <w:rFonts w:ascii="標楷體" w:hAnsi="標楷體" w:hint="eastAsia"/>
          <w:b w:val="0"/>
          <w:sz w:val="24"/>
          <w:szCs w:val="24"/>
        </w:rPr>
        <w:t>醫院下轉病患</w:t>
      </w:r>
      <w:proofErr w:type="gramEnd"/>
      <w:r w:rsidRPr="00BA20E6">
        <w:rPr>
          <w:rFonts w:ascii="標楷體" w:hAnsi="標楷體" w:hint="eastAsia"/>
          <w:b w:val="0"/>
          <w:sz w:val="24"/>
          <w:szCs w:val="24"/>
        </w:rPr>
        <w:t>困難，經函請健保署</w:t>
      </w:r>
      <w:proofErr w:type="gramStart"/>
      <w:r w:rsidRPr="00BA20E6">
        <w:rPr>
          <w:rFonts w:ascii="標楷體" w:hAnsi="標楷體" w:hint="eastAsia"/>
          <w:b w:val="0"/>
          <w:sz w:val="24"/>
          <w:szCs w:val="24"/>
        </w:rPr>
        <w:t>研</w:t>
      </w:r>
      <w:proofErr w:type="gramEnd"/>
      <w:r w:rsidRPr="00BA20E6">
        <w:rPr>
          <w:rFonts w:ascii="標楷體" w:hAnsi="標楷體" w:hint="eastAsia"/>
          <w:b w:val="0"/>
          <w:sz w:val="24"/>
          <w:szCs w:val="24"/>
        </w:rPr>
        <w:t>謀改善，以發揮策略聯盟垂直整合功能。據復：將持續觀察民眾就醫趨勢，推動相關政策，加強宣導分級醫療及節約醫療資源之觀念。</w:t>
      </w:r>
    </w:p>
    <w:p w:rsidR="00CB1C82" w:rsidRPr="00CD6BA4" w:rsidRDefault="00430E87" w:rsidP="00BA3C4D">
      <w:pPr>
        <w:pStyle w:val="af9"/>
        <w:overflowPunct w:val="0"/>
        <w:spacing w:beforeLines="0" w:before="0" w:afterLines="0" w:after="0" w:line="460" w:lineRule="exact"/>
        <w:ind w:firstLineChars="700" w:firstLine="1682"/>
        <w:rPr>
          <w:rFonts w:ascii="標楷體" w:hAnsi="標楷體"/>
          <w:spacing w:val="-2"/>
          <w:sz w:val="24"/>
          <w:szCs w:val="24"/>
        </w:rPr>
      </w:pPr>
      <w:r w:rsidRPr="00BA20E6">
        <w:rPr>
          <w:rFonts w:ascii="標楷體" w:hAnsi="標楷體"/>
          <w:sz w:val="24"/>
          <w:szCs w:val="24"/>
        </w:rPr>
        <w:t>B</w:t>
      </w:r>
      <w:r w:rsidRPr="00BA20E6">
        <w:rPr>
          <w:rFonts w:ascii="標楷體" w:hAnsi="標楷體" w:hint="eastAsia"/>
          <w:sz w:val="24"/>
          <w:szCs w:val="24"/>
        </w:rPr>
        <w:t>.</w:t>
      </w:r>
      <w:r w:rsidR="00BF0F19" w:rsidRPr="00BA20E6">
        <w:rPr>
          <w:rFonts w:ascii="標楷體" w:hAnsi="標楷體" w:hint="eastAsia"/>
          <w:sz w:val="24"/>
          <w:szCs w:val="24"/>
        </w:rPr>
        <w:t xml:space="preserve">　</w:t>
      </w:r>
      <w:r w:rsidRPr="00BA20E6">
        <w:rPr>
          <w:rFonts w:ascii="標楷體" w:hAnsi="標楷體" w:hint="eastAsia"/>
          <w:sz w:val="24"/>
          <w:szCs w:val="24"/>
        </w:rPr>
        <w:t>分級醫療推動後，地區醫院醫療服務量能未顯著提升，且區域級以上醫院轉診案件中，轉出</w:t>
      </w:r>
      <w:proofErr w:type="gramStart"/>
      <w:r w:rsidRPr="00BA20E6">
        <w:rPr>
          <w:rFonts w:ascii="標楷體" w:hAnsi="標楷體" w:hint="eastAsia"/>
          <w:sz w:val="24"/>
          <w:szCs w:val="24"/>
        </w:rPr>
        <w:t>件數遠低於</w:t>
      </w:r>
      <w:proofErr w:type="gramEnd"/>
      <w:r w:rsidRPr="00BA20E6">
        <w:rPr>
          <w:rFonts w:ascii="標楷體" w:hAnsi="標楷體" w:hint="eastAsia"/>
          <w:sz w:val="24"/>
          <w:szCs w:val="24"/>
        </w:rPr>
        <w:t>接受轉入件數，允宜持續</w:t>
      </w:r>
      <w:proofErr w:type="gramStart"/>
      <w:r w:rsidRPr="00BA20E6">
        <w:rPr>
          <w:rFonts w:ascii="標楷體" w:hAnsi="標楷體" w:hint="eastAsia"/>
          <w:sz w:val="24"/>
          <w:szCs w:val="24"/>
        </w:rPr>
        <w:t>研</w:t>
      </w:r>
      <w:proofErr w:type="gramEnd"/>
      <w:r w:rsidRPr="00BA20E6">
        <w:rPr>
          <w:rFonts w:ascii="標楷體" w:hAnsi="標楷體" w:hint="eastAsia"/>
          <w:sz w:val="24"/>
          <w:szCs w:val="24"/>
        </w:rPr>
        <w:t>謀相關配套措施，促進醫療體系均衡發</w:t>
      </w:r>
      <w:r w:rsidRPr="00CD6BA4">
        <w:rPr>
          <w:rFonts w:ascii="標楷體" w:hAnsi="標楷體" w:hint="eastAsia"/>
          <w:spacing w:val="-2"/>
          <w:sz w:val="24"/>
          <w:szCs w:val="24"/>
        </w:rPr>
        <w:t>展：</w:t>
      </w:r>
      <w:r w:rsidRPr="00CD6BA4">
        <w:rPr>
          <w:rFonts w:ascii="標楷體" w:hAnsi="標楷體" w:hint="eastAsia"/>
          <w:b w:val="0"/>
          <w:spacing w:val="-2"/>
          <w:sz w:val="24"/>
          <w:szCs w:val="24"/>
        </w:rPr>
        <w:t>衛生</w:t>
      </w:r>
      <w:proofErr w:type="gramStart"/>
      <w:r w:rsidRPr="00CD6BA4">
        <w:rPr>
          <w:rFonts w:ascii="標楷體" w:hAnsi="標楷體" w:hint="eastAsia"/>
          <w:b w:val="0"/>
          <w:spacing w:val="-2"/>
          <w:sz w:val="24"/>
          <w:szCs w:val="24"/>
        </w:rPr>
        <w:t>福利部及健保</w:t>
      </w:r>
      <w:proofErr w:type="gramEnd"/>
      <w:r w:rsidRPr="00CD6BA4">
        <w:rPr>
          <w:rFonts w:ascii="標楷體" w:hAnsi="標楷體" w:hint="eastAsia"/>
          <w:b w:val="0"/>
          <w:spacing w:val="-2"/>
          <w:sz w:val="24"/>
          <w:szCs w:val="24"/>
        </w:rPr>
        <w:t>署於106年提出分級醫療6大策略及相關配套措施，健保署並自</w:t>
      </w:r>
      <w:proofErr w:type="gramStart"/>
      <w:r w:rsidRPr="00CD6BA4">
        <w:rPr>
          <w:rFonts w:ascii="標楷體" w:hAnsi="標楷體" w:hint="eastAsia"/>
          <w:b w:val="0"/>
          <w:spacing w:val="-2"/>
          <w:sz w:val="24"/>
          <w:szCs w:val="24"/>
        </w:rPr>
        <w:t>107</w:t>
      </w:r>
      <w:proofErr w:type="gramEnd"/>
      <w:r w:rsidRPr="00CD6BA4">
        <w:rPr>
          <w:rFonts w:ascii="標楷體" w:hAnsi="標楷體" w:hint="eastAsia"/>
          <w:b w:val="0"/>
          <w:spacing w:val="-2"/>
          <w:sz w:val="24"/>
          <w:szCs w:val="24"/>
        </w:rPr>
        <w:t>年度起編列專款預算，增加院所轉診支付誘因，鼓勵大型醫院</w:t>
      </w:r>
      <w:proofErr w:type="gramStart"/>
      <w:r w:rsidRPr="00CD6BA4">
        <w:rPr>
          <w:rFonts w:ascii="標楷體" w:hAnsi="標楷體" w:hint="eastAsia"/>
          <w:b w:val="0"/>
          <w:spacing w:val="-2"/>
          <w:sz w:val="24"/>
          <w:szCs w:val="24"/>
        </w:rPr>
        <w:t>將輕症</w:t>
      </w:r>
      <w:proofErr w:type="gramEnd"/>
      <w:r w:rsidRPr="00CD6BA4">
        <w:rPr>
          <w:rFonts w:ascii="標楷體" w:hAnsi="標楷體" w:hint="eastAsia"/>
          <w:b w:val="0"/>
          <w:spacing w:val="-2"/>
          <w:sz w:val="24"/>
          <w:szCs w:val="24"/>
        </w:rPr>
        <w:t>及穩定慢性病</w:t>
      </w:r>
      <w:proofErr w:type="gramStart"/>
      <w:r w:rsidRPr="00CD6BA4">
        <w:rPr>
          <w:rFonts w:ascii="標楷體" w:hAnsi="標楷體" w:hint="eastAsia"/>
          <w:b w:val="0"/>
          <w:spacing w:val="-2"/>
          <w:sz w:val="24"/>
          <w:szCs w:val="24"/>
        </w:rPr>
        <w:t>個案下轉至</w:t>
      </w:r>
      <w:proofErr w:type="gramEnd"/>
      <w:r w:rsidRPr="00CD6BA4">
        <w:rPr>
          <w:rFonts w:ascii="標楷體" w:hAnsi="標楷體" w:hint="eastAsia"/>
          <w:b w:val="0"/>
          <w:spacing w:val="-2"/>
          <w:sz w:val="24"/>
          <w:szCs w:val="24"/>
        </w:rPr>
        <w:t>社區院所就醫，落實分級醫療及雙向轉診制度。惟依健保署公告之</w:t>
      </w:r>
      <w:r w:rsidRPr="00CD6BA4">
        <w:rPr>
          <w:rFonts w:ascii="標楷體" w:hAnsi="標楷體"/>
          <w:b w:val="0"/>
          <w:spacing w:val="-2"/>
          <w:sz w:val="24"/>
          <w:szCs w:val="24"/>
        </w:rPr>
        <w:t>各醫院病床</w:t>
      </w:r>
      <w:proofErr w:type="gramStart"/>
      <w:r w:rsidRPr="00CD6BA4">
        <w:rPr>
          <w:rFonts w:ascii="標楷體" w:hAnsi="標楷體"/>
          <w:b w:val="0"/>
          <w:spacing w:val="-2"/>
          <w:sz w:val="24"/>
          <w:szCs w:val="24"/>
        </w:rPr>
        <w:t>平均占床率</w:t>
      </w:r>
      <w:proofErr w:type="gramEnd"/>
      <w:r w:rsidRPr="00CD6BA4">
        <w:rPr>
          <w:rFonts w:ascii="標楷體" w:hAnsi="標楷體" w:hint="eastAsia"/>
          <w:b w:val="0"/>
          <w:spacing w:val="-2"/>
          <w:sz w:val="24"/>
          <w:szCs w:val="24"/>
        </w:rPr>
        <w:t>統計，106</w:t>
      </w:r>
      <w:r w:rsidRPr="00BF0F19">
        <w:rPr>
          <w:rFonts w:ascii="標楷體" w:hAnsi="標楷體" w:hint="eastAsia"/>
          <w:b w:val="0"/>
          <w:spacing w:val="-4"/>
          <w:sz w:val="24"/>
          <w:szCs w:val="24"/>
        </w:rPr>
        <w:t>至108年度醫學中心急性一般</w:t>
      </w:r>
      <w:proofErr w:type="gramStart"/>
      <w:r w:rsidRPr="00BF0F19">
        <w:rPr>
          <w:rFonts w:ascii="標楷體" w:hAnsi="標楷體" w:hint="eastAsia"/>
          <w:b w:val="0"/>
          <w:spacing w:val="-4"/>
          <w:sz w:val="24"/>
          <w:szCs w:val="24"/>
        </w:rPr>
        <w:t>病床占床率</w:t>
      </w:r>
      <w:proofErr w:type="gramEnd"/>
      <w:r w:rsidRPr="00BF0F19">
        <w:rPr>
          <w:rFonts w:ascii="標楷體" w:hAnsi="標楷體" w:hint="eastAsia"/>
          <w:b w:val="0"/>
          <w:spacing w:val="-4"/>
          <w:sz w:val="24"/>
          <w:szCs w:val="24"/>
        </w:rPr>
        <w:t>之中位數為86.81％、86.13％、86.60％，區域醫院為65.04</w:t>
      </w:r>
      <w:r w:rsidRPr="00BF0F19">
        <w:rPr>
          <w:rFonts w:ascii="標楷體" w:hAnsi="標楷體" w:hint="eastAsia"/>
          <w:b w:val="0"/>
          <w:spacing w:val="-4"/>
          <w:sz w:val="24"/>
          <w:szCs w:val="24"/>
        </w:rPr>
        <w:lastRenderedPageBreak/>
        <w:t>％、67.59％、69.10％，地區醫院則為44.62％、46.04％、46.56％，</w:t>
      </w:r>
      <w:proofErr w:type="gramStart"/>
      <w:r w:rsidRPr="00BF0F19">
        <w:rPr>
          <w:rFonts w:ascii="標楷體" w:hAnsi="標楷體" w:hint="eastAsia"/>
          <w:b w:val="0"/>
          <w:spacing w:val="-4"/>
          <w:sz w:val="24"/>
          <w:szCs w:val="24"/>
        </w:rPr>
        <w:t>108</w:t>
      </w:r>
      <w:proofErr w:type="gramEnd"/>
      <w:r w:rsidRPr="00BF0F19">
        <w:rPr>
          <w:rFonts w:ascii="標楷體" w:hAnsi="標楷體" w:hint="eastAsia"/>
          <w:b w:val="0"/>
          <w:spacing w:val="-4"/>
          <w:sz w:val="24"/>
          <w:szCs w:val="24"/>
        </w:rPr>
        <w:t>年度地區</w:t>
      </w:r>
      <w:proofErr w:type="gramStart"/>
      <w:r w:rsidRPr="00BF0F19">
        <w:rPr>
          <w:rFonts w:ascii="標楷體" w:hAnsi="標楷體" w:hint="eastAsia"/>
          <w:b w:val="0"/>
          <w:spacing w:val="-4"/>
          <w:sz w:val="24"/>
          <w:szCs w:val="24"/>
        </w:rPr>
        <w:t>醫院占床率</w:t>
      </w:r>
      <w:proofErr w:type="gramEnd"/>
      <w:r w:rsidRPr="00BF0F19">
        <w:rPr>
          <w:rFonts w:ascii="標楷體" w:hAnsi="標楷體" w:hint="eastAsia"/>
          <w:b w:val="0"/>
          <w:spacing w:val="-4"/>
          <w:sz w:val="24"/>
          <w:szCs w:val="24"/>
        </w:rPr>
        <w:t>中位數相較前兩年度僅微幅上升，且仍遠低於醫學中心及區域醫院，地區醫院醫療量能仍未顯著提升。另查</w:t>
      </w:r>
      <w:proofErr w:type="gramStart"/>
      <w:r w:rsidRPr="00BF0F19">
        <w:rPr>
          <w:rFonts w:ascii="標楷體" w:hAnsi="標楷體" w:hint="eastAsia"/>
          <w:b w:val="0"/>
          <w:spacing w:val="-4"/>
          <w:sz w:val="24"/>
          <w:szCs w:val="24"/>
        </w:rPr>
        <w:t>1</w:t>
      </w:r>
      <w:r w:rsidRPr="00BF0F19">
        <w:rPr>
          <w:rFonts w:ascii="標楷體" w:hAnsi="標楷體"/>
          <w:b w:val="0"/>
          <w:spacing w:val="-4"/>
          <w:sz w:val="24"/>
          <w:szCs w:val="24"/>
        </w:rPr>
        <w:t>09</w:t>
      </w:r>
      <w:proofErr w:type="gramEnd"/>
      <w:r w:rsidRPr="00BF0F19">
        <w:rPr>
          <w:rFonts w:ascii="標楷體" w:hAnsi="標楷體" w:hint="eastAsia"/>
          <w:b w:val="0"/>
          <w:spacing w:val="-4"/>
          <w:sz w:val="24"/>
          <w:szCs w:val="24"/>
        </w:rPr>
        <w:t>年度各層級醫院及診所轉診案件申報情形，轉診案件數合計1</w:t>
      </w:r>
      <w:r w:rsidRPr="00BF0F19">
        <w:rPr>
          <w:rFonts w:ascii="標楷體" w:hAnsi="標楷體"/>
          <w:b w:val="0"/>
          <w:spacing w:val="-4"/>
          <w:sz w:val="24"/>
          <w:szCs w:val="24"/>
        </w:rPr>
        <w:t>1</w:t>
      </w:r>
      <w:r w:rsidRPr="00BF0F19">
        <w:rPr>
          <w:rFonts w:ascii="標楷體" w:hAnsi="標楷體" w:hint="eastAsia"/>
          <w:b w:val="0"/>
          <w:spacing w:val="-4"/>
          <w:sz w:val="24"/>
          <w:szCs w:val="24"/>
        </w:rPr>
        <w:t>7萬餘件，其中上轉案件為92萬餘件，</w:t>
      </w:r>
      <w:proofErr w:type="gramStart"/>
      <w:r w:rsidRPr="00BF0F19">
        <w:rPr>
          <w:rFonts w:ascii="標楷體" w:hAnsi="標楷體" w:hint="eastAsia"/>
          <w:b w:val="0"/>
          <w:spacing w:val="-4"/>
          <w:sz w:val="24"/>
          <w:szCs w:val="24"/>
        </w:rPr>
        <w:t>而下轉</w:t>
      </w:r>
      <w:proofErr w:type="gramEnd"/>
      <w:r w:rsidRPr="00BF0F19">
        <w:rPr>
          <w:rFonts w:ascii="標楷體" w:hAnsi="標楷體" w:hint="eastAsia"/>
          <w:b w:val="0"/>
          <w:spacing w:val="-4"/>
          <w:sz w:val="24"/>
          <w:szCs w:val="24"/>
        </w:rPr>
        <w:t>（含回轉）案件僅1</w:t>
      </w:r>
      <w:r w:rsidRPr="00BF0F19">
        <w:rPr>
          <w:rFonts w:ascii="標楷體" w:hAnsi="標楷體"/>
          <w:b w:val="0"/>
          <w:spacing w:val="-4"/>
          <w:sz w:val="24"/>
          <w:szCs w:val="24"/>
        </w:rPr>
        <w:t>7</w:t>
      </w:r>
      <w:r w:rsidRPr="00BF0F19">
        <w:rPr>
          <w:rFonts w:ascii="標楷體" w:hAnsi="標楷體" w:hint="eastAsia"/>
          <w:b w:val="0"/>
          <w:spacing w:val="-4"/>
          <w:sz w:val="24"/>
          <w:szCs w:val="24"/>
        </w:rPr>
        <w:t>萬餘件，且醫學中心、區</w:t>
      </w:r>
      <w:r w:rsidRPr="00CD6BA4">
        <w:rPr>
          <w:rFonts w:ascii="標楷體" w:hAnsi="標楷體" w:hint="eastAsia"/>
          <w:b w:val="0"/>
          <w:spacing w:val="-2"/>
          <w:sz w:val="24"/>
          <w:szCs w:val="24"/>
        </w:rPr>
        <w:t>域醫院、地區醫院、基層診所申報轉出案件分別為9萬餘件、</w:t>
      </w:r>
      <w:r w:rsidRPr="00CD6BA4">
        <w:rPr>
          <w:rFonts w:ascii="標楷體" w:hAnsi="標楷體"/>
          <w:b w:val="0"/>
          <w:spacing w:val="-2"/>
          <w:sz w:val="24"/>
          <w:szCs w:val="24"/>
        </w:rPr>
        <w:t>13</w:t>
      </w:r>
      <w:r w:rsidRPr="00CD6BA4">
        <w:rPr>
          <w:rFonts w:ascii="標楷體" w:hAnsi="標楷體" w:hint="eastAsia"/>
          <w:b w:val="0"/>
          <w:spacing w:val="-2"/>
          <w:sz w:val="24"/>
          <w:szCs w:val="24"/>
        </w:rPr>
        <w:t>萬餘件、1</w:t>
      </w:r>
      <w:r w:rsidRPr="00CD6BA4">
        <w:rPr>
          <w:rFonts w:ascii="標楷體" w:hAnsi="標楷體"/>
          <w:b w:val="0"/>
          <w:spacing w:val="-2"/>
          <w:sz w:val="24"/>
          <w:szCs w:val="24"/>
        </w:rPr>
        <w:t>7</w:t>
      </w:r>
      <w:r w:rsidRPr="00CD6BA4">
        <w:rPr>
          <w:rFonts w:ascii="標楷體" w:hAnsi="標楷體" w:hint="eastAsia"/>
          <w:b w:val="0"/>
          <w:spacing w:val="-2"/>
          <w:sz w:val="24"/>
          <w:szCs w:val="24"/>
        </w:rPr>
        <w:t>萬餘件、7</w:t>
      </w:r>
      <w:r w:rsidRPr="00CD6BA4">
        <w:rPr>
          <w:rFonts w:ascii="標楷體" w:hAnsi="標楷體"/>
          <w:b w:val="0"/>
          <w:spacing w:val="-2"/>
          <w:sz w:val="24"/>
          <w:szCs w:val="24"/>
        </w:rPr>
        <w:t>6</w:t>
      </w:r>
      <w:r w:rsidRPr="00CD6BA4">
        <w:rPr>
          <w:rFonts w:ascii="標楷體" w:hAnsi="標楷體" w:hint="eastAsia"/>
          <w:b w:val="0"/>
          <w:spacing w:val="-2"/>
          <w:sz w:val="24"/>
          <w:szCs w:val="24"/>
        </w:rPr>
        <w:t>萬餘件，轉出案件多數來自基層診所，區域級以上醫院轉出</w:t>
      </w:r>
      <w:proofErr w:type="gramStart"/>
      <w:r w:rsidRPr="00CD6BA4">
        <w:rPr>
          <w:rFonts w:ascii="標楷體" w:hAnsi="標楷體" w:hint="eastAsia"/>
          <w:b w:val="0"/>
          <w:spacing w:val="-2"/>
          <w:sz w:val="24"/>
          <w:szCs w:val="24"/>
        </w:rPr>
        <w:t>件數遠低於</w:t>
      </w:r>
      <w:proofErr w:type="gramEnd"/>
      <w:r w:rsidRPr="00CD6BA4">
        <w:rPr>
          <w:rFonts w:ascii="標楷體" w:hAnsi="標楷體" w:hint="eastAsia"/>
          <w:b w:val="0"/>
          <w:spacing w:val="-2"/>
          <w:sz w:val="24"/>
          <w:szCs w:val="24"/>
        </w:rPr>
        <w:t>地區醫院及基層診所轉出案件數（表1）。顯示該署雖</w:t>
      </w:r>
      <w:proofErr w:type="gramStart"/>
      <w:r w:rsidRPr="00CD6BA4">
        <w:rPr>
          <w:rFonts w:ascii="標楷體" w:hAnsi="標楷體" w:hint="eastAsia"/>
          <w:b w:val="0"/>
          <w:spacing w:val="-2"/>
          <w:sz w:val="24"/>
          <w:szCs w:val="24"/>
        </w:rPr>
        <w:t>研</w:t>
      </w:r>
      <w:proofErr w:type="gramEnd"/>
      <w:r w:rsidRPr="00CD6BA4">
        <w:rPr>
          <w:rFonts w:ascii="標楷體" w:hAnsi="標楷體" w:hint="eastAsia"/>
          <w:b w:val="0"/>
          <w:spacing w:val="-2"/>
          <w:sz w:val="24"/>
          <w:szCs w:val="24"/>
        </w:rPr>
        <w:t>擬轉診支付誘因，鼓勵院所落實分級醫療及雙向轉診制度，惟社區醫療服務量能仍待提升，且醫療院所間之</w:t>
      </w:r>
      <w:proofErr w:type="gramStart"/>
      <w:r w:rsidRPr="00CD6BA4">
        <w:rPr>
          <w:rFonts w:ascii="標楷體" w:hAnsi="標楷體" w:hint="eastAsia"/>
          <w:b w:val="0"/>
          <w:spacing w:val="-2"/>
          <w:sz w:val="24"/>
          <w:szCs w:val="24"/>
        </w:rPr>
        <w:t>轉診仍偏重</w:t>
      </w:r>
      <w:proofErr w:type="gramEnd"/>
      <w:r w:rsidRPr="00CD6BA4">
        <w:rPr>
          <w:rFonts w:ascii="標楷體" w:hAnsi="標楷體" w:hint="eastAsia"/>
          <w:b w:val="0"/>
          <w:spacing w:val="-2"/>
          <w:sz w:val="24"/>
          <w:szCs w:val="24"/>
        </w:rPr>
        <w:t>單向轉診，與所訂政策目標尚有落差，經函請健保署</w:t>
      </w:r>
      <w:proofErr w:type="gramStart"/>
      <w:r w:rsidRPr="00CD6BA4">
        <w:rPr>
          <w:rFonts w:ascii="標楷體" w:hAnsi="標楷體" w:hint="eastAsia"/>
          <w:b w:val="0"/>
          <w:spacing w:val="-2"/>
          <w:sz w:val="24"/>
          <w:szCs w:val="24"/>
        </w:rPr>
        <w:t>研</w:t>
      </w:r>
      <w:proofErr w:type="gramEnd"/>
      <w:r w:rsidRPr="00CD6BA4">
        <w:rPr>
          <w:rFonts w:ascii="標楷體" w:hAnsi="標楷體" w:hint="eastAsia"/>
          <w:b w:val="0"/>
          <w:spacing w:val="-2"/>
          <w:sz w:val="24"/>
          <w:szCs w:val="24"/>
        </w:rPr>
        <w:t>謀改善，以促進醫療體</w:t>
      </w:r>
      <w:r w:rsidR="001746E5" w:rsidRPr="00CD6BA4">
        <w:rPr>
          <w:rFonts w:ascii="標楷體" w:hAnsi="標楷體"/>
          <w:b w:val="0"/>
          <w:noProof/>
          <w:spacing w:val="-2"/>
          <w:sz w:val="24"/>
          <w:szCs w:val="24"/>
        </w:rPr>
        <mc:AlternateContent>
          <mc:Choice Requires="wps">
            <w:drawing>
              <wp:anchor distT="0" distB="0" distL="114300" distR="114300" simplePos="0" relativeHeight="251661312" behindDoc="1" locked="0" layoutInCell="1" allowOverlap="1" wp14:anchorId="20F50C21" wp14:editId="73DF134B">
                <wp:simplePos x="0" y="0"/>
                <wp:positionH relativeFrom="column">
                  <wp:posOffset>1840865</wp:posOffset>
                </wp:positionH>
                <wp:positionV relativeFrom="paragraph">
                  <wp:posOffset>2412365</wp:posOffset>
                </wp:positionV>
                <wp:extent cx="4518660" cy="196659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8660" cy="1966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804" w:rsidRDefault="00935804" w:rsidP="00CD6BA4">
                            <w:pPr>
                              <w:ind w:leftChars="-59" w:left="-142" w:rightChars="11" w:right="26"/>
                              <w:jc w:val="center"/>
                            </w:pPr>
                            <w:r w:rsidRPr="007A4EC5">
                              <w:rPr>
                                <w:rFonts w:ascii="標楷體" w:eastAsia="標楷體" w:hAnsi="標楷體"/>
                                <w:b/>
                                <w:szCs w:val="28"/>
                              </w:rPr>
                              <w:t>表</w:t>
                            </w:r>
                            <w:r w:rsidRPr="007A4EC5">
                              <w:rPr>
                                <w:rFonts w:ascii="標楷體" w:eastAsia="標楷體" w:hAnsi="標楷體" w:hint="eastAsia"/>
                                <w:b/>
                                <w:szCs w:val="28"/>
                              </w:rPr>
                              <w:t>1</w:t>
                            </w:r>
                            <w:r>
                              <w:rPr>
                                <w:rFonts w:ascii="標楷體" w:eastAsia="標楷體" w:hAnsi="標楷體" w:hint="eastAsia"/>
                                <w:b/>
                                <w:szCs w:val="28"/>
                              </w:rPr>
                              <w:t xml:space="preserve">　</w:t>
                            </w:r>
                            <w:proofErr w:type="gramStart"/>
                            <w:r w:rsidRPr="007A4EC5">
                              <w:rPr>
                                <w:rFonts w:ascii="標楷體" w:eastAsia="標楷體" w:hAnsi="標楷體" w:hint="eastAsia"/>
                                <w:b/>
                                <w:szCs w:val="28"/>
                              </w:rPr>
                              <w:t>109</w:t>
                            </w:r>
                            <w:proofErr w:type="gramEnd"/>
                            <w:r w:rsidRPr="007A4EC5">
                              <w:rPr>
                                <w:rFonts w:ascii="標楷體" w:eastAsia="標楷體" w:hAnsi="標楷體" w:hint="eastAsia"/>
                                <w:b/>
                                <w:szCs w:val="28"/>
                              </w:rPr>
                              <w:t>年度</w:t>
                            </w:r>
                            <w:r>
                              <w:rPr>
                                <w:rFonts w:ascii="標楷體" w:eastAsia="標楷體" w:hAnsi="標楷體" w:hint="eastAsia"/>
                                <w:b/>
                                <w:szCs w:val="28"/>
                              </w:rPr>
                              <w:t>各層級醫院及診所</w:t>
                            </w:r>
                            <w:r w:rsidRPr="007A4EC5">
                              <w:rPr>
                                <w:rFonts w:ascii="標楷體" w:eastAsia="標楷體" w:hAnsi="標楷體" w:hint="eastAsia"/>
                                <w:b/>
                                <w:szCs w:val="28"/>
                              </w:rPr>
                              <w:t>轉診案件申報情形</w:t>
                            </w:r>
                          </w:p>
                          <w:p w:rsidR="00935804" w:rsidRDefault="00935804" w:rsidP="005E6BBB">
                            <w:pPr>
                              <w:spacing w:line="240" w:lineRule="exact"/>
                              <w:ind w:rightChars="-6" w:right="-14"/>
                              <w:jc w:val="right"/>
                            </w:pPr>
                            <w:r w:rsidRPr="007A4EC5">
                              <w:rPr>
                                <w:rFonts w:ascii="標楷體" w:eastAsia="標楷體" w:hAnsi="標楷體" w:hint="eastAsia"/>
                                <w:sz w:val="20"/>
                              </w:rPr>
                              <w:t>單位：</w:t>
                            </w:r>
                            <w:r>
                              <w:rPr>
                                <w:rFonts w:ascii="標楷體" w:eastAsia="標楷體" w:hAnsi="標楷體" w:hint="eastAsia"/>
                                <w:sz w:val="20"/>
                              </w:rPr>
                              <w:t>千</w:t>
                            </w:r>
                            <w:r w:rsidRPr="007A4EC5">
                              <w:rPr>
                                <w:rFonts w:ascii="標楷體" w:eastAsia="標楷體" w:hAnsi="標楷體" w:hint="eastAsia"/>
                                <w:sz w:val="20"/>
                              </w:rPr>
                              <w:t>件</w:t>
                            </w:r>
                          </w:p>
                          <w:tbl>
                            <w:tblPr>
                              <w:tblW w:w="6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034"/>
                              <w:gridCol w:w="1084"/>
                              <w:gridCol w:w="1084"/>
                              <w:gridCol w:w="1085"/>
                              <w:gridCol w:w="1084"/>
                              <w:gridCol w:w="1085"/>
                            </w:tblGrid>
                            <w:tr w:rsidR="00935804" w:rsidRPr="007A4EC5" w:rsidTr="00603685">
                              <w:trPr>
                                <w:cantSplit/>
                                <w:trHeight w:val="113"/>
                              </w:trPr>
                              <w:tc>
                                <w:tcPr>
                                  <w:tcW w:w="1537" w:type="dxa"/>
                                  <w:gridSpan w:val="2"/>
                                  <w:vMerge w:val="restart"/>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類別</w:t>
                                  </w:r>
                                </w:p>
                              </w:tc>
                              <w:tc>
                                <w:tcPr>
                                  <w:tcW w:w="5422" w:type="dxa"/>
                                  <w:gridSpan w:val="5"/>
                                  <w:shd w:val="clear" w:color="auto" w:fill="auto"/>
                                </w:tcPr>
                                <w:p w:rsidR="00935804" w:rsidRPr="00FA2E3C" w:rsidRDefault="00935804" w:rsidP="00BF0F19">
                                  <w:pPr>
                                    <w:widowControl/>
                                    <w:overflowPunct w:val="0"/>
                                    <w:spacing w:line="280" w:lineRule="exact"/>
                                    <w:jc w:val="center"/>
                                    <w:rPr>
                                      <w:rFonts w:ascii="標楷體" w:eastAsia="標楷體" w:hAnsi="標楷體" w:cs="新細明體"/>
                                      <w:sz w:val="20"/>
                                    </w:rPr>
                                  </w:pPr>
                                  <w:r w:rsidRPr="00FA2E3C">
                                    <w:rPr>
                                      <w:rFonts w:ascii="標楷體" w:eastAsia="標楷體" w:hAnsi="標楷體" w:cs="新細明體" w:hint="eastAsia"/>
                                      <w:sz w:val="20"/>
                                    </w:rPr>
                                    <w:t>轉出院所</w:t>
                                  </w:r>
                                </w:p>
                              </w:tc>
                            </w:tr>
                            <w:tr w:rsidR="00935804" w:rsidRPr="007A4EC5" w:rsidTr="00603685">
                              <w:trPr>
                                <w:cantSplit/>
                                <w:trHeight w:val="113"/>
                              </w:trPr>
                              <w:tc>
                                <w:tcPr>
                                  <w:tcW w:w="1537" w:type="dxa"/>
                                  <w:gridSpan w:val="2"/>
                                  <w:vMerge/>
                                  <w:tcBorders>
                                    <w:tl2br w:val="single" w:sz="4" w:space="0" w:color="auto"/>
                                  </w:tcBorders>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p>
                              </w:tc>
                              <w:tc>
                                <w:tcPr>
                                  <w:tcW w:w="1084" w:type="dxa"/>
                                  <w:shd w:val="clear" w:color="auto" w:fill="auto"/>
                                </w:tcPr>
                                <w:p w:rsidR="00935804" w:rsidRPr="00FA2E3C" w:rsidRDefault="00935804" w:rsidP="00BF0F19">
                                  <w:pPr>
                                    <w:widowControl/>
                                    <w:overflowPunct w:val="0"/>
                                    <w:spacing w:line="280" w:lineRule="exact"/>
                                    <w:jc w:val="center"/>
                                    <w:rPr>
                                      <w:rFonts w:ascii="標楷體" w:eastAsia="標楷體" w:hAnsi="標楷體" w:cs="新細明體"/>
                                      <w:b/>
                                      <w:sz w:val="20"/>
                                    </w:rPr>
                                  </w:pPr>
                                  <w:r w:rsidRPr="00FA2E3C">
                                    <w:rPr>
                                      <w:rFonts w:ascii="標楷體" w:eastAsia="標楷體" w:hAnsi="標楷體" w:cs="新細明體" w:hint="eastAsia"/>
                                      <w:b/>
                                      <w:sz w:val="20"/>
                                    </w:rPr>
                                    <w:t>合計</w:t>
                                  </w:r>
                                </w:p>
                              </w:tc>
                              <w:tc>
                                <w:tcPr>
                                  <w:tcW w:w="108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醫學中心</w:t>
                                  </w:r>
                                </w:p>
                              </w:tc>
                              <w:tc>
                                <w:tcPr>
                                  <w:tcW w:w="1085"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區域醫院</w:t>
                                  </w:r>
                                </w:p>
                              </w:tc>
                              <w:tc>
                                <w:tcPr>
                                  <w:tcW w:w="108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地區醫院</w:t>
                                  </w:r>
                                </w:p>
                              </w:tc>
                              <w:tc>
                                <w:tcPr>
                                  <w:tcW w:w="1085"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基層診所</w:t>
                                  </w:r>
                                </w:p>
                              </w:tc>
                            </w:tr>
                            <w:tr w:rsidR="00935804" w:rsidRPr="007A4EC5" w:rsidTr="00603685">
                              <w:trPr>
                                <w:cantSplit/>
                                <w:trHeight w:val="113"/>
                              </w:trPr>
                              <w:tc>
                                <w:tcPr>
                                  <w:tcW w:w="503" w:type="dxa"/>
                                  <w:vMerge w:val="restart"/>
                                  <w:shd w:val="clear" w:color="auto" w:fill="auto"/>
                                  <w:textDirection w:val="tbRlV"/>
                                  <w:vAlign w:val="center"/>
                                </w:tcPr>
                                <w:p w:rsidR="00935804" w:rsidRPr="00FA2E3C" w:rsidRDefault="00935804" w:rsidP="00BF0F19">
                                  <w:pPr>
                                    <w:widowControl/>
                                    <w:overflowPunct w:val="0"/>
                                    <w:spacing w:line="280" w:lineRule="exact"/>
                                    <w:ind w:left="113" w:right="113"/>
                                    <w:jc w:val="center"/>
                                    <w:rPr>
                                      <w:rFonts w:ascii="標楷體" w:eastAsia="標楷體" w:hAnsi="標楷體" w:cs="新細明體"/>
                                      <w:sz w:val="20"/>
                                    </w:rPr>
                                  </w:pPr>
                                  <w:r w:rsidRPr="00FA2E3C">
                                    <w:rPr>
                                      <w:rFonts w:ascii="標楷體" w:eastAsia="標楷體" w:hAnsi="標楷體" w:cs="新細明體" w:hint="eastAsia"/>
                                      <w:sz w:val="20"/>
                                    </w:rPr>
                                    <w:t>接受院所</w:t>
                                  </w:r>
                                </w:p>
                              </w:tc>
                              <w:tc>
                                <w:tcPr>
                                  <w:tcW w:w="1034" w:type="dxa"/>
                                  <w:shd w:val="clear" w:color="auto" w:fill="auto"/>
                                  <w:vAlign w:val="center"/>
                                </w:tcPr>
                                <w:p w:rsidR="00935804" w:rsidRPr="00FA2E3C" w:rsidRDefault="00935804" w:rsidP="00BF0F19">
                                  <w:pPr>
                                    <w:widowControl/>
                                    <w:overflowPunct w:val="0"/>
                                    <w:spacing w:line="280" w:lineRule="exact"/>
                                    <w:jc w:val="center"/>
                                    <w:rPr>
                                      <w:rFonts w:ascii="標楷體" w:eastAsia="標楷體" w:hAnsi="標楷體" w:cs="新細明體"/>
                                      <w:b/>
                                      <w:sz w:val="20"/>
                                    </w:rPr>
                                  </w:pPr>
                                  <w:r w:rsidRPr="00FA2E3C">
                                    <w:rPr>
                                      <w:rFonts w:ascii="標楷體" w:eastAsia="標楷體" w:hAnsi="標楷體" w:cs="新細明體" w:hint="eastAsia"/>
                                      <w:b/>
                                      <w:sz w:val="20"/>
                                    </w:rPr>
                                    <w:t>合計</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w:t>
                                  </w:r>
                                  <w:r w:rsidRPr="00FA2E3C">
                                    <w:rPr>
                                      <w:rFonts w:ascii="標楷體" w:eastAsia="標楷體" w:hAnsi="標楷體" w:cs="新細明體" w:hint="eastAsia"/>
                                      <w:b/>
                                      <w:sz w:val="20"/>
                                    </w:rPr>
                                    <w:t>172</w:t>
                                  </w:r>
                                </w:p>
                              </w:tc>
                              <w:tc>
                                <w:tcPr>
                                  <w:tcW w:w="1084"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9</w:t>
                                  </w:r>
                                  <w:r w:rsidRPr="00FA2E3C">
                                    <w:rPr>
                                      <w:rFonts w:ascii="標楷體" w:eastAsia="標楷體" w:hAnsi="標楷體" w:cs="新細明體"/>
                                      <w:b/>
                                      <w:sz w:val="20"/>
                                    </w:rPr>
                                    <w:t>9</w:t>
                                  </w:r>
                                </w:p>
                              </w:tc>
                              <w:tc>
                                <w:tcPr>
                                  <w:tcW w:w="1085"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36</w:t>
                                  </w:r>
                                </w:p>
                              </w:tc>
                              <w:tc>
                                <w:tcPr>
                                  <w:tcW w:w="1084"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75</w:t>
                                  </w:r>
                                </w:p>
                              </w:tc>
                              <w:tc>
                                <w:tcPr>
                                  <w:tcW w:w="1085"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7</w:t>
                                  </w:r>
                                  <w:r w:rsidRPr="00FA2E3C">
                                    <w:rPr>
                                      <w:rFonts w:ascii="標楷體" w:eastAsia="標楷體" w:hAnsi="標楷體" w:cs="新細明體"/>
                                      <w:b/>
                                      <w:sz w:val="20"/>
                                    </w:rPr>
                                    <w:t>61</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醫學中心</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4</w:t>
                                  </w:r>
                                  <w:r w:rsidRPr="00FA2E3C">
                                    <w:rPr>
                                      <w:rFonts w:ascii="標楷體" w:eastAsia="標楷體" w:hAnsi="標楷體" w:cs="新細明體"/>
                                      <w:b/>
                                      <w:sz w:val="20"/>
                                    </w:rPr>
                                    <w:t>73</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7</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9</w:t>
                                  </w:r>
                                  <w:r w:rsidRPr="00430E87">
                                    <w:rPr>
                                      <w:rFonts w:ascii="標楷體" w:eastAsia="標楷體" w:hAnsi="標楷體" w:cs="新細明體"/>
                                      <w:sz w:val="20"/>
                                    </w:rPr>
                                    <w:t>0</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42</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區域醫院</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4</w:t>
                                  </w:r>
                                  <w:r w:rsidRPr="00FA2E3C">
                                    <w:rPr>
                                      <w:rFonts w:ascii="標楷體" w:eastAsia="標楷體" w:hAnsi="標楷體" w:cs="新細明體"/>
                                      <w:b/>
                                      <w:sz w:val="20"/>
                                    </w:rPr>
                                    <w:t>00</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sz w:val="20"/>
                                    </w:rPr>
                                    <w:t>33</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7</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06</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地區醫院</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89</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8</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2</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02</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基層診所</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08</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6</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7</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3</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0</w:t>
                                  </w:r>
                                </w:p>
                              </w:tc>
                            </w:tr>
                          </w:tbl>
                          <w:p w:rsidR="00935804" w:rsidRPr="00430E87" w:rsidRDefault="00935804" w:rsidP="00BF0F19">
                            <w:pPr>
                              <w:pStyle w:val="Default"/>
                              <w:spacing w:line="220" w:lineRule="exact"/>
                              <w:ind w:leftChars="-52" w:left="-125"/>
                              <w:rPr>
                                <w:rFonts w:hAnsi="標楷體"/>
                                <w:sz w:val="18"/>
                                <w:szCs w:val="18"/>
                              </w:rPr>
                            </w:pPr>
                            <w:r>
                              <w:rPr>
                                <w:rFonts w:hAnsi="標楷體" w:hint="eastAsia"/>
                                <w:sz w:val="18"/>
                                <w:szCs w:val="18"/>
                              </w:rPr>
                              <w:t>資料來源：整理自健保</w:t>
                            </w:r>
                            <w:r w:rsidRPr="007A4EC5">
                              <w:rPr>
                                <w:rFonts w:hAnsi="標楷體" w:hint="eastAsia"/>
                                <w:sz w:val="18"/>
                                <w:szCs w:val="18"/>
                              </w:rPr>
                              <w:t>署公告之</w:t>
                            </w:r>
                            <w:r w:rsidRPr="007A4EC5">
                              <w:rPr>
                                <w:rFonts w:hAnsi="標楷體"/>
                                <w:sz w:val="18"/>
                                <w:szCs w:val="18"/>
                              </w:rPr>
                              <w:t>109</w:t>
                            </w:r>
                            <w:r w:rsidRPr="007A4EC5">
                              <w:rPr>
                                <w:rFonts w:hAnsi="標楷體" w:hint="eastAsia"/>
                                <w:sz w:val="18"/>
                                <w:szCs w:val="18"/>
                              </w:rPr>
                              <w:t>年分級醫療整體成效進度追蹤。</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44.95pt;margin-top:189.95pt;width:355.8pt;height:154.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" filled="f" stroked="f">
                <v:textbox>
                  <w:txbxContent>
                    <w:p w:rsidR="00935804" w:rsidRDefault="00935804" w:rsidP="00CD6BA4">
                      <w:pPr>
                        <w:ind w:leftChars="-59" w:left="-142" w:rightChars="11" w:right="26"/>
                        <w:jc w:val="center"/>
                      </w:pPr>
                      <w:r w:rsidRPr="007A4EC5">
                        <w:rPr>
                          <w:rFonts w:ascii="標楷體" w:eastAsia="標楷體" w:hAnsi="標楷體"/>
                          <w:b/>
                          <w:szCs w:val="28"/>
                        </w:rPr>
                        <w:t>表</w:t>
                      </w:r>
                      <w:r w:rsidRPr="007A4EC5">
                        <w:rPr>
                          <w:rFonts w:ascii="標楷體" w:eastAsia="標楷體" w:hAnsi="標楷體" w:hint="eastAsia"/>
                          <w:b/>
                          <w:szCs w:val="28"/>
                        </w:rPr>
                        <w:t>1</w:t>
                      </w:r>
                      <w:r>
                        <w:rPr>
                          <w:rFonts w:ascii="標楷體" w:eastAsia="標楷體" w:hAnsi="標楷體" w:hint="eastAsia"/>
                          <w:b/>
                          <w:szCs w:val="28"/>
                        </w:rPr>
                        <w:t xml:space="preserve">　</w:t>
                      </w:r>
                      <w:proofErr w:type="gramStart"/>
                      <w:r w:rsidRPr="007A4EC5">
                        <w:rPr>
                          <w:rFonts w:ascii="標楷體" w:eastAsia="標楷體" w:hAnsi="標楷體" w:hint="eastAsia"/>
                          <w:b/>
                          <w:szCs w:val="28"/>
                        </w:rPr>
                        <w:t>109</w:t>
                      </w:r>
                      <w:proofErr w:type="gramEnd"/>
                      <w:r w:rsidRPr="007A4EC5">
                        <w:rPr>
                          <w:rFonts w:ascii="標楷體" w:eastAsia="標楷體" w:hAnsi="標楷體" w:hint="eastAsia"/>
                          <w:b/>
                          <w:szCs w:val="28"/>
                        </w:rPr>
                        <w:t>年度</w:t>
                      </w:r>
                      <w:r>
                        <w:rPr>
                          <w:rFonts w:ascii="標楷體" w:eastAsia="標楷體" w:hAnsi="標楷體" w:hint="eastAsia"/>
                          <w:b/>
                          <w:szCs w:val="28"/>
                        </w:rPr>
                        <w:t>各層級醫院及診所</w:t>
                      </w:r>
                      <w:r w:rsidRPr="007A4EC5">
                        <w:rPr>
                          <w:rFonts w:ascii="標楷體" w:eastAsia="標楷體" w:hAnsi="標楷體" w:hint="eastAsia"/>
                          <w:b/>
                          <w:szCs w:val="28"/>
                        </w:rPr>
                        <w:t>轉診案件申報情形</w:t>
                      </w:r>
                    </w:p>
                    <w:p w:rsidR="00935804" w:rsidRDefault="00935804" w:rsidP="005E6BBB">
                      <w:pPr>
                        <w:spacing w:line="240" w:lineRule="exact"/>
                        <w:ind w:rightChars="-6" w:right="-14"/>
                        <w:jc w:val="right"/>
                      </w:pPr>
                      <w:r w:rsidRPr="007A4EC5">
                        <w:rPr>
                          <w:rFonts w:ascii="標楷體" w:eastAsia="標楷體" w:hAnsi="標楷體" w:hint="eastAsia"/>
                          <w:sz w:val="20"/>
                        </w:rPr>
                        <w:t>單位：</w:t>
                      </w:r>
                      <w:r>
                        <w:rPr>
                          <w:rFonts w:ascii="標楷體" w:eastAsia="標楷體" w:hAnsi="標楷體" w:hint="eastAsia"/>
                          <w:sz w:val="20"/>
                        </w:rPr>
                        <w:t>千</w:t>
                      </w:r>
                      <w:r w:rsidRPr="007A4EC5">
                        <w:rPr>
                          <w:rFonts w:ascii="標楷體" w:eastAsia="標楷體" w:hAnsi="標楷體" w:hint="eastAsia"/>
                          <w:sz w:val="20"/>
                        </w:rPr>
                        <w:t>件</w:t>
                      </w:r>
                    </w:p>
                    <w:tbl>
                      <w:tblPr>
                        <w:tblW w:w="6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034"/>
                        <w:gridCol w:w="1084"/>
                        <w:gridCol w:w="1084"/>
                        <w:gridCol w:w="1085"/>
                        <w:gridCol w:w="1084"/>
                        <w:gridCol w:w="1085"/>
                      </w:tblGrid>
                      <w:tr w:rsidR="00935804" w:rsidRPr="007A4EC5" w:rsidTr="00603685">
                        <w:trPr>
                          <w:cantSplit/>
                          <w:trHeight w:val="113"/>
                        </w:trPr>
                        <w:tc>
                          <w:tcPr>
                            <w:tcW w:w="1537" w:type="dxa"/>
                            <w:gridSpan w:val="2"/>
                            <w:vMerge w:val="restart"/>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類別</w:t>
                            </w:r>
                          </w:p>
                        </w:tc>
                        <w:tc>
                          <w:tcPr>
                            <w:tcW w:w="5422" w:type="dxa"/>
                            <w:gridSpan w:val="5"/>
                            <w:shd w:val="clear" w:color="auto" w:fill="auto"/>
                          </w:tcPr>
                          <w:p w:rsidR="00935804" w:rsidRPr="00FA2E3C" w:rsidRDefault="00935804" w:rsidP="00BF0F19">
                            <w:pPr>
                              <w:widowControl/>
                              <w:overflowPunct w:val="0"/>
                              <w:spacing w:line="280" w:lineRule="exact"/>
                              <w:jc w:val="center"/>
                              <w:rPr>
                                <w:rFonts w:ascii="標楷體" w:eastAsia="標楷體" w:hAnsi="標楷體" w:cs="新細明體"/>
                                <w:sz w:val="20"/>
                              </w:rPr>
                            </w:pPr>
                            <w:r w:rsidRPr="00FA2E3C">
                              <w:rPr>
                                <w:rFonts w:ascii="標楷體" w:eastAsia="標楷體" w:hAnsi="標楷體" w:cs="新細明體" w:hint="eastAsia"/>
                                <w:sz w:val="20"/>
                              </w:rPr>
                              <w:t>轉出院所</w:t>
                            </w:r>
                          </w:p>
                        </w:tc>
                      </w:tr>
                      <w:tr w:rsidR="00935804" w:rsidRPr="007A4EC5" w:rsidTr="00603685">
                        <w:trPr>
                          <w:cantSplit/>
                          <w:trHeight w:val="113"/>
                        </w:trPr>
                        <w:tc>
                          <w:tcPr>
                            <w:tcW w:w="1537" w:type="dxa"/>
                            <w:gridSpan w:val="2"/>
                            <w:vMerge/>
                            <w:tcBorders>
                              <w:tl2br w:val="single" w:sz="4" w:space="0" w:color="auto"/>
                            </w:tcBorders>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p>
                        </w:tc>
                        <w:tc>
                          <w:tcPr>
                            <w:tcW w:w="1084" w:type="dxa"/>
                            <w:shd w:val="clear" w:color="auto" w:fill="auto"/>
                          </w:tcPr>
                          <w:p w:rsidR="00935804" w:rsidRPr="00FA2E3C" w:rsidRDefault="00935804" w:rsidP="00BF0F19">
                            <w:pPr>
                              <w:widowControl/>
                              <w:overflowPunct w:val="0"/>
                              <w:spacing w:line="280" w:lineRule="exact"/>
                              <w:jc w:val="center"/>
                              <w:rPr>
                                <w:rFonts w:ascii="標楷體" w:eastAsia="標楷體" w:hAnsi="標楷體" w:cs="新細明體"/>
                                <w:b/>
                                <w:sz w:val="20"/>
                              </w:rPr>
                            </w:pPr>
                            <w:r w:rsidRPr="00FA2E3C">
                              <w:rPr>
                                <w:rFonts w:ascii="標楷體" w:eastAsia="標楷體" w:hAnsi="標楷體" w:cs="新細明體" w:hint="eastAsia"/>
                                <w:b/>
                                <w:sz w:val="20"/>
                              </w:rPr>
                              <w:t>合計</w:t>
                            </w:r>
                          </w:p>
                        </w:tc>
                        <w:tc>
                          <w:tcPr>
                            <w:tcW w:w="108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醫學中心</w:t>
                            </w:r>
                          </w:p>
                        </w:tc>
                        <w:tc>
                          <w:tcPr>
                            <w:tcW w:w="1085"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區域醫院</w:t>
                            </w:r>
                          </w:p>
                        </w:tc>
                        <w:tc>
                          <w:tcPr>
                            <w:tcW w:w="108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地區醫院</w:t>
                            </w:r>
                          </w:p>
                        </w:tc>
                        <w:tc>
                          <w:tcPr>
                            <w:tcW w:w="1085"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基層診所</w:t>
                            </w:r>
                          </w:p>
                        </w:tc>
                      </w:tr>
                      <w:tr w:rsidR="00935804" w:rsidRPr="007A4EC5" w:rsidTr="00603685">
                        <w:trPr>
                          <w:cantSplit/>
                          <w:trHeight w:val="113"/>
                        </w:trPr>
                        <w:tc>
                          <w:tcPr>
                            <w:tcW w:w="503" w:type="dxa"/>
                            <w:vMerge w:val="restart"/>
                            <w:shd w:val="clear" w:color="auto" w:fill="auto"/>
                            <w:textDirection w:val="tbRlV"/>
                            <w:vAlign w:val="center"/>
                          </w:tcPr>
                          <w:p w:rsidR="00935804" w:rsidRPr="00FA2E3C" w:rsidRDefault="00935804" w:rsidP="00BF0F19">
                            <w:pPr>
                              <w:widowControl/>
                              <w:overflowPunct w:val="0"/>
                              <w:spacing w:line="280" w:lineRule="exact"/>
                              <w:ind w:left="113" w:right="113"/>
                              <w:jc w:val="center"/>
                              <w:rPr>
                                <w:rFonts w:ascii="標楷體" w:eastAsia="標楷體" w:hAnsi="標楷體" w:cs="新細明體"/>
                                <w:sz w:val="20"/>
                              </w:rPr>
                            </w:pPr>
                            <w:r w:rsidRPr="00FA2E3C">
                              <w:rPr>
                                <w:rFonts w:ascii="標楷體" w:eastAsia="標楷體" w:hAnsi="標楷體" w:cs="新細明體" w:hint="eastAsia"/>
                                <w:sz w:val="20"/>
                              </w:rPr>
                              <w:t>接受院所</w:t>
                            </w:r>
                          </w:p>
                        </w:tc>
                        <w:tc>
                          <w:tcPr>
                            <w:tcW w:w="1034" w:type="dxa"/>
                            <w:shd w:val="clear" w:color="auto" w:fill="auto"/>
                            <w:vAlign w:val="center"/>
                          </w:tcPr>
                          <w:p w:rsidR="00935804" w:rsidRPr="00FA2E3C" w:rsidRDefault="00935804" w:rsidP="00BF0F19">
                            <w:pPr>
                              <w:widowControl/>
                              <w:overflowPunct w:val="0"/>
                              <w:spacing w:line="280" w:lineRule="exact"/>
                              <w:jc w:val="center"/>
                              <w:rPr>
                                <w:rFonts w:ascii="標楷體" w:eastAsia="標楷體" w:hAnsi="標楷體" w:cs="新細明體"/>
                                <w:b/>
                                <w:sz w:val="20"/>
                              </w:rPr>
                            </w:pPr>
                            <w:r w:rsidRPr="00FA2E3C">
                              <w:rPr>
                                <w:rFonts w:ascii="標楷體" w:eastAsia="標楷體" w:hAnsi="標楷體" w:cs="新細明體" w:hint="eastAsia"/>
                                <w:b/>
                                <w:sz w:val="20"/>
                              </w:rPr>
                              <w:t>合計</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w:t>
                            </w:r>
                            <w:r w:rsidRPr="00FA2E3C">
                              <w:rPr>
                                <w:rFonts w:ascii="標楷體" w:eastAsia="標楷體" w:hAnsi="標楷體" w:cs="新細明體" w:hint="eastAsia"/>
                                <w:b/>
                                <w:sz w:val="20"/>
                              </w:rPr>
                              <w:t>172</w:t>
                            </w:r>
                          </w:p>
                        </w:tc>
                        <w:tc>
                          <w:tcPr>
                            <w:tcW w:w="1084"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9</w:t>
                            </w:r>
                            <w:r w:rsidRPr="00FA2E3C">
                              <w:rPr>
                                <w:rFonts w:ascii="標楷體" w:eastAsia="標楷體" w:hAnsi="標楷體" w:cs="新細明體"/>
                                <w:b/>
                                <w:sz w:val="20"/>
                              </w:rPr>
                              <w:t>9</w:t>
                            </w:r>
                          </w:p>
                        </w:tc>
                        <w:tc>
                          <w:tcPr>
                            <w:tcW w:w="1085"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36</w:t>
                            </w:r>
                          </w:p>
                        </w:tc>
                        <w:tc>
                          <w:tcPr>
                            <w:tcW w:w="1084"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75</w:t>
                            </w:r>
                          </w:p>
                        </w:tc>
                        <w:tc>
                          <w:tcPr>
                            <w:tcW w:w="1085" w:type="dxa"/>
                            <w:shd w:val="clear" w:color="auto" w:fill="auto"/>
                            <w:vAlign w:val="center"/>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7</w:t>
                            </w:r>
                            <w:r w:rsidRPr="00FA2E3C">
                              <w:rPr>
                                <w:rFonts w:ascii="標楷體" w:eastAsia="標楷體" w:hAnsi="標楷體" w:cs="新細明體"/>
                                <w:b/>
                                <w:sz w:val="20"/>
                              </w:rPr>
                              <w:t>61</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醫學中心</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4</w:t>
                            </w:r>
                            <w:r w:rsidRPr="00FA2E3C">
                              <w:rPr>
                                <w:rFonts w:ascii="標楷體" w:eastAsia="標楷體" w:hAnsi="標楷體" w:cs="新細明體"/>
                                <w:b/>
                                <w:sz w:val="20"/>
                              </w:rPr>
                              <w:t>73</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7</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9</w:t>
                            </w:r>
                            <w:r w:rsidRPr="00430E87">
                              <w:rPr>
                                <w:rFonts w:ascii="標楷體" w:eastAsia="標楷體" w:hAnsi="標楷體" w:cs="新細明體"/>
                                <w:sz w:val="20"/>
                              </w:rPr>
                              <w:t>0</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42</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區域醫院</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4</w:t>
                            </w:r>
                            <w:r w:rsidRPr="00FA2E3C">
                              <w:rPr>
                                <w:rFonts w:ascii="標楷體" w:eastAsia="標楷體" w:hAnsi="標楷體" w:cs="新細明體"/>
                                <w:b/>
                                <w:sz w:val="20"/>
                              </w:rPr>
                              <w:t>00</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sz w:val="20"/>
                              </w:rPr>
                              <w:t>33</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7</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06</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地區醫院</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89</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8</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2</w:t>
                            </w:r>
                            <w:r w:rsidRPr="00430E87">
                              <w:rPr>
                                <w:rFonts w:ascii="標楷體" w:eastAsia="標楷體" w:hAnsi="標楷體" w:cs="新細明體"/>
                                <w:sz w:val="20"/>
                              </w:rPr>
                              <w:t>4</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02</w:t>
                            </w:r>
                          </w:p>
                        </w:tc>
                      </w:tr>
                      <w:tr w:rsidR="00935804" w:rsidRPr="007A4EC5" w:rsidTr="00603685">
                        <w:trPr>
                          <w:cantSplit/>
                          <w:trHeight w:val="113"/>
                        </w:trPr>
                        <w:tc>
                          <w:tcPr>
                            <w:tcW w:w="503" w:type="dxa"/>
                            <w:vMerge/>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p>
                        </w:tc>
                        <w:tc>
                          <w:tcPr>
                            <w:tcW w:w="1034" w:type="dxa"/>
                            <w:shd w:val="clear" w:color="auto" w:fill="auto"/>
                            <w:vAlign w:val="center"/>
                          </w:tcPr>
                          <w:p w:rsidR="00935804" w:rsidRPr="00430E87" w:rsidRDefault="00935804" w:rsidP="00BF0F19">
                            <w:pPr>
                              <w:widowControl/>
                              <w:overflowPunct w:val="0"/>
                              <w:spacing w:line="280" w:lineRule="exact"/>
                              <w:jc w:val="center"/>
                              <w:rPr>
                                <w:rFonts w:ascii="標楷體" w:eastAsia="標楷體" w:hAnsi="標楷體" w:cs="新細明體"/>
                                <w:sz w:val="20"/>
                              </w:rPr>
                            </w:pPr>
                            <w:r w:rsidRPr="00430E87">
                              <w:rPr>
                                <w:rFonts w:ascii="標楷體" w:eastAsia="標楷體" w:hAnsi="標楷體" w:cs="新細明體" w:hint="eastAsia"/>
                                <w:sz w:val="20"/>
                              </w:rPr>
                              <w:t>基層診所</w:t>
                            </w:r>
                          </w:p>
                        </w:tc>
                        <w:tc>
                          <w:tcPr>
                            <w:tcW w:w="1084" w:type="dxa"/>
                            <w:shd w:val="clear" w:color="auto" w:fill="auto"/>
                          </w:tcPr>
                          <w:p w:rsidR="00935804" w:rsidRPr="00FA2E3C" w:rsidRDefault="00935804" w:rsidP="00BF0F19">
                            <w:pPr>
                              <w:widowControl/>
                              <w:overflowPunct w:val="0"/>
                              <w:spacing w:line="280" w:lineRule="exact"/>
                              <w:jc w:val="right"/>
                              <w:rPr>
                                <w:rFonts w:ascii="標楷體" w:eastAsia="標楷體" w:hAnsi="標楷體" w:cs="新細明體"/>
                                <w:b/>
                                <w:sz w:val="20"/>
                              </w:rPr>
                            </w:pPr>
                            <w:r w:rsidRPr="00FA2E3C">
                              <w:rPr>
                                <w:rFonts w:ascii="標楷體" w:eastAsia="標楷體" w:hAnsi="標楷體" w:cs="新細明體" w:hint="eastAsia"/>
                                <w:b/>
                                <w:sz w:val="20"/>
                              </w:rPr>
                              <w:t>1</w:t>
                            </w:r>
                            <w:r w:rsidRPr="00FA2E3C">
                              <w:rPr>
                                <w:rFonts w:ascii="標楷體" w:eastAsia="標楷體" w:hAnsi="標楷體" w:cs="新細明體"/>
                                <w:b/>
                                <w:sz w:val="20"/>
                              </w:rPr>
                              <w:t>08</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3</w:t>
                            </w:r>
                            <w:r w:rsidRPr="00430E87">
                              <w:rPr>
                                <w:rFonts w:ascii="標楷體" w:eastAsia="標楷體" w:hAnsi="標楷體" w:cs="新細明體"/>
                                <w:sz w:val="20"/>
                              </w:rPr>
                              <w:t>6</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4</w:t>
                            </w:r>
                            <w:r w:rsidRPr="00430E87">
                              <w:rPr>
                                <w:rFonts w:ascii="標楷體" w:eastAsia="標楷體" w:hAnsi="標楷體" w:cs="新細明體"/>
                                <w:sz w:val="20"/>
                              </w:rPr>
                              <w:t>7</w:t>
                            </w:r>
                          </w:p>
                        </w:tc>
                        <w:tc>
                          <w:tcPr>
                            <w:tcW w:w="1084"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3</w:t>
                            </w:r>
                          </w:p>
                        </w:tc>
                        <w:tc>
                          <w:tcPr>
                            <w:tcW w:w="1085" w:type="dxa"/>
                            <w:shd w:val="clear" w:color="auto" w:fill="auto"/>
                            <w:vAlign w:val="center"/>
                          </w:tcPr>
                          <w:p w:rsidR="00935804" w:rsidRPr="00430E87" w:rsidRDefault="00935804" w:rsidP="00BF0F19">
                            <w:pPr>
                              <w:widowControl/>
                              <w:overflowPunct w:val="0"/>
                              <w:spacing w:line="280" w:lineRule="exact"/>
                              <w:jc w:val="right"/>
                              <w:rPr>
                                <w:rFonts w:ascii="標楷體" w:eastAsia="標楷體" w:hAnsi="標楷體" w:cs="新細明體"/>
                                <w:sz w:val="20"/>
                              </w:rPr>
                            </w:pPr>
                            <w:r w:rsidRPr="00430E87">
                              <w:rPr>
                                <w:rFonts w:ascii="標楷體" w:eastAsia="標楷體" w:hAnsi="標楷體" w:cs="新細明體" w:hint="eastAsia"/>
                                <w:sz w:val="20"/>
                              </w:rPr>
                              <w:t>1</w:t>
                            </w:r>
                            <w:r w:rsidRPr="00430E87">
                              <w:rPr>
                                <w:rFonts w:ascii="標楷體" w:eastAsia="標楷體" w:hAnsi="標楷體" w:cs="新細明體"/>
                                <w:sz w:val="20"/>
                              </w:rPr>
                              <w:t>0</w:t>
                            </w:r>
                          </w:p>
                        </w:tc>
                      </w:tr>
                    </w:tbl>
                    <w:p w:rsidR="00935804" w:rsidRPr="00430E87" w:rsidRDefault="00935804" w:rsidP="00BF0F19">
                      <w:pPr>
                        <w:pStyle w:val="Default"/>
                        <w:spacing w:line="220" w:lineRule="exact"/>
                        <w:ind w:leftChars="-52" w:left="-125"/>
                        <w:rPr>
                          <w:rFonts w:hAnsi="標楷體"/>
                          <w:sz w:val="18"/>
                          <w:szCs w:val="18"/>
                        </w:rPr>
                      </w:pPr>
                      <w:r>
                        <w:rPr>
                          <w:rFonts w:hAnsi="標楷體" w:hint="eastAsia"/>
                          <w:sz w:val="18"/>
                          <w:szCs w:val="18"/>
                        </w:rPr>
                        <w:t>資料來源：整理自健保</w:t>
                      </w:r>
                      <w:r w:rsidRPr="007A4EC5">
                        <w:rPr>
                          <w:rFonts w:hAnsi="標楷體" w:hint="eastAsia"/>
                          <w:sz w:val="18"/>
                          <w:szCs w:val="18"/>
                        </w:rPr>
                        <w:t>署公告之</w:t>
                      </w:r>
                      <w:r w:rsidRPr="007A4EC5">
                        <w:rPr>
                          <w:rFonts w:hAnsi="標楷體"/>
                          <w:sz w:val="18"/>
                          <w:szCs w:val="18"/>
                        </w:rPr>
                        <w:t>109</w:t>
                      </w:r>
                      <w:r w:rsidRPr="007A4EC5">
                        <w:rPr>
                          <w:rFonts w:hAnsi="標楷體" w:hint="eastAsia"/>
                          <w:sz w:val="18"/>
                          <w:szCs w:val="18"/>
                        </w:rPr>
                        <w:t>年分級醫療整體成效進度追蹤。</w:t>
                      </w:r>
                    </w:p>
                  </w:txbxContent>
                </v:textbox>
                <w10:wrap type="square"/>
              </v:shape>
            </w:pict>
          </mc:Fallback>
        </mc:AlternateContent>
      </w:r>
      <w:r w:rsidRPr="00CD6BA4">
        <w:rPr>
          <w:rFonts w:ascii="標楷體" w:hAnsi="標楷體" w:hint="eastAsia"/>
          <w:b w:val="0"/>
          <w:spacing w:val="-2"/>
          <w:sz w:val="24"/>
          <w:szCs w:val="24"/>
        </w:rPr>
        <w:t>系均衡發展。據復：已持續編列預算辦理分級醫療</w:t>
      </w:r>
      <w:r w:rsidR="00EF77A8">
        <w:rPr>
          <w:rFonts w:ascii="標楷體" w:hAnsi="標楷體" w:hint="eastAsia"/>
          <w:b w:val="0"/>
          <w:spacing w:val="-2"/>
          <w:sz w:val="24"/>
          <w:szCs w:val="24"/>
        </w:rPr>
        <w:t>6</w:t>
      </w:r>
      <w:r w:rsidRPr="00CD6BA4">
        <w:rPr>
          <w:rFonts w:ascii="標楷體" w:hAnsi="標楷體" w:hint="eastAsia"/>
          <w:b w:val="0"/>
          <w:spacing w:val="-2"/>
          <w:sz w:val="24"/>
          <w:szCs w:val="24"/>
        </w:rPr>
        <w:t>大策略及相關配套措施，以壯大地區醫院服務量能，並輔以定期追蹤管制考核措施觀察整體院所服務量能，適時檢討相關政策。</w:t>
      </w:r>
    </w:p>
    <w:p w:rsidR="00CB1C82" w:rsidRPr="00BA20E6" w:rsidRDefault="00430E87" w:rsidP="00BA3C4D">
      <w:pPr>
        <w:pStyle w:val="af9"/>
        <w:overflowPunct w:val="0"/>
        <w:spacing w:beforeLines="0" w:before="0" w:afterLines="0" w:after="0" w:line="480" w:lineRule="exact"/>
        <w:ind w:firstLineChars="700" w:firstLine="1682"/>
        <w:rPr>
          <w:rFonts w:ascii="標楷體" w:hAnsi="標楷體"/>
          <w:b w:val="0"/>
          <w:sz w:val="24"/>
          <w:szCs w:val="24"/>
        </w:rPr>
      </w:pPr>
      <w:r w:rsidRPr="00BA20E6">
        <w:rPr>
          <w:rFonts w:ascii="標楷體" w:hAnsi="標楷體" w:hint="eastAsia"/>
          <w:sz w:val="24"/>
          <w:szCs w:val="24"/>
        </w:rPr>
        <w:t>C.</w:t>
      </w:r>
      <w:r w:rsidR="00BF0F19" w:rsidRPr="00BA20E6">
        <w:rPr>
          <w:rFonts w:ascii="標楷體" w:hAnsi="標楷體" w:hint="eastAsia"/>
          <w:sz w:val="24"/>
          <w:szCs w:val="24"/>
        </w:rPr>
        <w:t xml:space="preserve">　</w:t>
      </w:r>
      <w:r w:rsidRPr="00BA20E6">
        <w:rPr>
          <w:rFonts w:ascii="標楷體" w:hAnsi="標楷體" w:hint="eastAsia"/>
          <w:sz w:val="24"/>
          <w:szCs w:val="24"/>
        </w:rPr>
        <w:t>健保署為建立垂直整合轉銜系統，吸引民眾回歸社區就醫，辦理</w:t>
      </w:r>
      <w:r w:rsidRPr="00BA20E6">
        <w:rPr>
          <w:rFonts w:ascii="標楷體" w:hAnsi="標楷體"/>
          <w:sz w:val="24"/>
          <w:szCs w:val="24"/>
        </w:rPr>
        <w:t>全民健康保險跨層級醫院合作計畫</w:t>
      </w:r>
      <w:r w:rsidRPr="00BA20E6">
        <w:rPr>
          <w:rFonts w:ascii="標楷體" w:hAnsi="標楷體" w:hint="eastAsia"/>
          <w:sz w:val="24"/>
          <w:szCs w:val="24"/>
        </w:rPr>
        <w:t>及全民健康保險急性後期整合照護計畫，惟計畫之執行面及制度面仍有</w:t>
      </w:r>
      <w:proofErr w:type="gramStart"/>
      <w:r w:rsidRPr="00BA20E6">
        <w:rPr>
          <w:rFonts w:ascii="標楷體" w:hAnsi="標楷體" w:hint="eastAsia"/>
          <w:sz w:val="24"/>
          <w:szCs w:val="24"/>
        </w:rPr>
        <w:t>未盡周妥</w:t>
      </w:r>
      <w:proofErr w:type="gramEnd"/>
      <w:r w:rsidRPr="00BA20E6">
        <w:rPr>
          <w:rFonts w:ascii="標楷體" w:hAnsi="標楷體" w:hint="eastAsia"/>
          <w:sz w:val="24"/>
          <w:szCs w:val="24"/>
        </w:rPr>
        <w:t>情事：</w:t>
      </w:r>
      <w:r w:rsidRPr="00BA20E6">
        <w:rPr>
          <w:rFonts w:ascii="標楷體" w:hAnsi="標楷體" w:hint="eastAsia"/>
          <w:b w:val="0"/>
          <w:sz w:val="24"/>
          <w:szCs w:val="24"/>
        </w:rPr>
        <w:t>健保署為鼓勵醫療院所跨層級合作，建置區域性醫療支援系統，藉由醫學中心、區域醫院及基層診所醫師支援地區醫院，以提升社區內醫療服務品質與內容，吸引民眾回歸社區就醫，辦理「</w:t>
      </w:r>
      <w:r w:rsidRPr="00BA20E6">
        <w:rPr>
          <w:rFonts w:ascii="標楷體" w:hAnsi="標楷體"/>
          <w:b w:val="0"/>
          <w:sz w:val="24"/>
          <w:szCs w:val="24"/>
        </w:rPr>
        <w:t>全民健康保險跨層級醫院合作計畫</w:t>
      </w:r>
      <w:r w:rsidRPr="00BA20E6">
        <w:rPr>
          <w:rFonts w:ascii="標楷體" w:hAnsi="標楷體" w:hint="eastAsia"/>
          <w:b w:val="0"/>
          <w:sz w:val="24"/>
          <w:szCs w:val="24"/>
        </w:rPr>
        <w:t>」，</w:t>
      </w:r>
      <w:proofErr w:type="gramStart"/>
      <w:r w:rsidRPr="00BA20E6">
        <w:rPr>
          <w:rFonts w:ascii="標楷體" w:hAnsi="標楷體"/>
          <w:b w:val="0"/>
          <w:sz w:val="24"/>
          <w:szCs w:val="24"/>
        </w:rPr>
        <w:t>109</w:t>
      </w:r>
      <w:proofErr w:type="gramEnd"/>
      <w:r w:rsidRPr="00BA20E6">
        <w:rPr>
          <w:rFonts w:ascii="標楷體" w:hAnsi="標楷體" w:hint="eastAsia"/>
          <w:b w:val="0"/>
          <w:sz w:val="24"/>
          <w:szCs w:val="24"/>
        </w:rPr>
        <w:t>年度實際支用數</w:t>
      </w:r>
      <w:r w:rsidRPr="00BA20E6">
        <w:rPr>
          <w:rFonts w:ascii="標楷體" w:hAnsi="標楷體"/>
          <w:b w:val="0"/>
          <w:sz w:val="24"/>
          <w:szCs w:val="24"/>
        </w:rPr>
        <w:t>6,100萬餘元</w:t>
      </w:r>
      <w:r w:rsidRPr="00BA20E6">
        <w:rPr>
          <w:rFonts w:ascii="標楷體" w:hAnsi="標楷體" w:hint="eastAsia"/>
          <w:b w:val="0"/>
          <w:sz w:val="24"/>
          <w:szCs w:val="24"/>
        </w:rPr>
        <w:t>，該計畫訂有跨醫院門診同藥理之</w:t>
      </w:r>
      <w:r w:rsidRPr="00BA20E6">
        <w:rPr>
          <w:rFonts w:ascii="標楷體" w:hAnsi="標楷體"/>
          <w:b w:val="0"/>
          <w:sz w:val="24"/>
          <w:szCs w:val="24"/>
        </w:rPr>
        <w:t>降血壓</w:t>
      </w:r>
      <w:r w:rsidRPr="00BA20E6">
        <w:rPr>
          <w:rFonts w:ascii="標楷體" w:hAnsi="標楷體" w:hint="eastAsia"/>
          <w:b w:val="0"/>
          <w:sz w:val="24"/>
          <w:szCs w:val="24"/>
        </w:rPr>
        <w:t>（口服）</w:t>
      </w:r>
      <w:r w:rsidRPr="00BA20E6">
        <w:rPr>
          <w:rFonts w:ascii="標楷體" w:hAnsi="標楷體"/>
          <w:b w:val="0"/>
          <w:sz w:val="24"/>
          <w:szCs w:val="24"/>
        </w:rPr>
        <w:t>、降血脂</w:t>
      </w:r>
      <w:r w:rsidRPr="00BA20E6">
        <w:rPr>
          <w:rFonts w:ascii="標楷體" w:hAnsi="標楷體" w:hint="eastAsia"/>
          <w:b w:val="0"/>
          <w:sz w:val="24"/>
          <w:szCs w:val="24"/>
        </w:rPr>
        <w:t>（口服）、</w:t>
      </w:r>
      <w:r w:rsidRPr="00BA20E6">
        <w:rPr>
          <w:rFonts w:ascii="標楷體" w:hAnsi="標楷體"/>
          <w:b w:val="0"/>
          <w:sz w:val="24"/>
          <w:szCs w:val="24"/>
        </w:rPr>
        <w:t>抗憂鬱</w:t>
      </w:r>
      <w:r w:rsidRPr="00BA20E6">
        <w:rPr>
          <w:rFonts w:ascii="標楷體" w:hAnsi="標楷體" w:hint="eastAsia"/>
          <w:b w:val="0"/>
          <w:sz w:val="24"/>
          <w:szCs w:val="24"/>
        </w:rPr>
        <w:t>症</w:t>
      </w:r>
      <w:r w:rsidRPr="00BA20E6">
        <w:rPr>
          <w:rFonts w:ascii="標楷體" w:hAnsi="標楷體"/>
          <w:b w:val="0"/>
          <w:sz w:val="24"/>
          <w:szCs w:val="24"/>
        </w:rPr>
        <w:t>及安</w:t>
      </w:r>
      <w:r w:rsidRPr="00BA20E6">
        <w:rPr>
          <w:rFonts w:ascii="標楷體" w:hAnsi="標楷體" w:hint="eastAsia"/>
          <w:b w:val="0"/>
          <w:sz w:val="24"/>
          <w:szCs w:val="24"/>
        </w:rPr>
        <w:t>眠</w:t>
      </w:r>
      <w:r w:rsidRPr="00BA20E6">
        <w:rPr>
          <w:rFonts w:ascii="標楷體" w:hAnsi="標楷體"/>
          <w:b w:val="0"/>
          <w:sz w:val="24"/>
          <w:szCs w:val="24"/>
        </w:rPr>
        <w:t>鎮</w:t>
      </w:r>
      <w:r w:rsidRPr="00BA20E6">
        <w:rPr>
          <w:rFonts w:ascii="標楷體" w:hAnsi="標楷體" w:hint="eastAsia"/>
          <w:b w:val="0"/>
          <w:sz w:val="24"/>
          <w:szCs w:val="24"/>
        </w:rPr>
        <w:t>靜等4類用藥日數重疊</w:t>
      </w:r>
      <w:r w:rsidRPr="00BA20E6">
        <w:rPr>
          <w:rFonts w:ascii="標楷體" w:hAnsi="標楷體"/>
          <w:b w:val="0"/>
          <w:sz w:val="24"/>
          <w:szCs w:val="24"/>
        </w:rPr>
        <w:t>率</w:t>
      </w:r>
      <w:r w:rsidRPr="00BA20E6">
        <w:rPr>
          <w:rFonts w:ascii="標楷體" w:hAnsi="標楷體" w:hint="eastAsia"/>
          <w:b w:val="0"/>
          <w:sz w:val="24"/>
          <w:szCs w:val="24"/>
        </w:rPr>
        <w:t>較</w:t>
      </w:r>
      <w:r w:rsidRPr="00BA20E6">
        <w:rPr>
          <w:rFonts w:ascii="標楷體" w:hAnsi="標楷體"/>
          <w:b w:val="0"/>
          <w:sz w:val="24"/>
          <w:szCs w:val="24"/>
        </w:rPr>
        <w:t>去年同期</w:t>
      </w:r>
      <w:r w:rsidRPr="00BA20E6">
        <w:rPr>
          <w:rFonts w:ascii="標楷體" w:hAnsi="標楷體" w:hint="eastAsia"/>
          <w:b w:val="0"/>
          <w:sz w:val="24"/>
          <w:szCs w:val="24"/>
        </w:rPr>
        <w:t>下降，及接受支援地區醫院總門診就醫人次較去年同期增加等評核指標。經核有部分參與計畫之醫院用藥日數重疊率較去年同期上升，且部分受支援醫院門診就醫人次較前一年度減少，又部分醫學中心及區域醫院因自身</w:t>
      </w:r>
      <w:proofErr w:type="gramStart"/>
      <w:r w:rsidRPr="00BA20E6">
        <w:rPr>
          <w:rFonts w:ascii="標楷體" w:hAnsi="標楷體" w:hint="eastAsia"/>
          <w:b w:val="0"/>
          <w:sz w:val="24"/>
          <w:szCs w:val="24"/>
        </w:rPr>
        <w:t>醫</w:t>
      </w:r>
      <w:proofErr w:type="gramEnd"/>
      <w:r w:rsidRPr="00BA20E6">
        <w:rPr>
          <w:rFonts w:ascii="標楷體" w:hAnsi="標楷體" w:hint="eastAsia"/>
          <w:b w:val="0"/>
          <w:sz w:val="24"/>
          <w:szCs w:val="24"/>
        </w:rPr>
        <w:t>事人力調度規劃，而減少或中斷對地區醫院之支援，致有地區醫院因無支援醫師而退出計畫等情事。另該署為建立急性期、急性後期及慢性期之垂直整合轉銜系統，減少後續再住院醫療費用，強化急性醫療資源配置效率，推動「全民健康保險急性後期整合照護計畫」，1</w:t>
      </w:r>
      <w:r w:rsidRPr="00BA20E6">
        <w:rPr>
          <w:rFonts w:ascii="標楷體" w:hAnsi="標楷體"/>
          <w:b w:val="0"/>
          <w:sz w:val="24"/>
          <w:szCs w:val="24"/>
        </w:rPr>
        <w:t>09</w:t>
      </w:r>
      <w:r w:rsidRPr="00BA20E6">
        <w:rPr>
          <w:rFonts w:ascii="標楷體" w:hAnsi="標楷體" w:hint="eastAsia"/>
          <w:b w:val="0"/>
          <w:sz w:val="24"/>
          <w:szCs w:val="24"/>
        </w:rPr>
        <w:t>年實際支用數6,</w:t>
      </w:r>
      <w:r w:rsidRPr="00BA20E6">
        <w:rPr>
          <w:rFonts w:ascii="標楷體" w:hAnsi="標楷體"/>
          <w:b w:val="0"/>
          <w:sz w:val="24"/>
          <w:szCs w:val="24"/>
        </w:rPr>
        <w:t>700萬餘元</w:t>
      </w:r>
      <w:r w:rsidRPr="00BA20E6">
        <w:rPr>
          <w:rFonts w:ascii="標楷體" w:hAnsi="標楷體" w:hint="eastAsia"/>
          <w:b w:val="0"/>
          <w:sz w:val="24"/>
          <w:szCs w:val="24"/>
        </w:rPr>
        <w:t>。執行結果，核有部分醫院具備參與計畫條件，或補足</w:t>
      </w:r>
      <w:proofErr w:type="gramStart"/>
      <w:r w:rsidRPr="00BA20E6">
        <w:rPr>
          <w:rFonts w:ascii="標楷體" w:hAnsi="標楷體" w:hint="eastAsia"/>
          <w:b w:val="0"/>
          <w:sz w:val="24"/>
          <w:szCs w:val="24"/>
        </w:rPr>
        <w:t>醫</w:t>
      </w:r>
      <w:proofErr w:type="gramEnd"/>
      <w:r w:rsidRPr="00BA20E6">
        <w:rPr>
          <w:rFonts w:ascii="標楷體" w:hAnsi="標楷體" w:hint="eastAsia"/>
          <w:b w:val="0"/>
          <w:sz w:val="24"/>
          <w:szCs w:val="24"/>
        </w:rPr>
        <w:t>事人力即具參與條件，惟未參與計畫提供急性後期照護服務，且該計畫照護模式及收案範圍逐步擴增，惟實際收案未達預期，亟待</w:t>
      </w:r>
      <w:proofErr w:type="gramStart"/>
      <w:r w:rsidRPr="00BA20E6">
        <w:rPr>
          <w:rFonts w:ascii="標楷體" w:hAnsi="標楷體" w:hint="eastAsia"/>
          <w:b w:val="0"/>
          <w:sz w:val="24"/>
          <w:szCs w:val="24"/>
        </w:rPr>
        <w:t>研</w:t>
      </w:r>
      <w:proofErr w:type="gramEnd"/>
      <w:r w:rsidRPr="00BA20E6">
        <w:rPr>
          <w:rFonts w:ascii="標楷體" w:hAnsi="標楷體" w:hint="eastAsia"/>
          <w:b w:val="0"/>
          <w:sz w:val="24"/>
          <w:szCs w:val="24"/>
        </w:rPr>
        <w:t>酌滾動式調整</w:t>
      </w:r>
      <w:r w:rsidRPr="00BA20E6">
        <w:rPr>
          <w:rFonts w:ascii="標楷體" w:hAnsi="標楷體" w:hint="eastAsia"/>
          <w:b w:val="0"/>
          <w:sz w:val="24"/>
          <w:szCs w:val="24"/>
        </w:rPr>
        <w:lastRenderedPageBreak/>
        <w:t>收案條件及強化照護模式不足之處等情事，經函請健保署</w:t>
      </w:r>
      <w:proofErr w:type="gramStart"/>
      <w:r w:rsidRPr="00BA20E6">
        <w:rPr>
          <w:rFonts w:ascii="標楷體" w:hAnsi="標楷體" w:hint="eastAsia"/>
          <w:b w:val="0"/>
          <w:sz w:val="24"/>
          <w:szCs w:val="24"/>
        </w:rPr>
        <w:t>研</w:t>
      </w:r>
      <w:proofErr w:type="gramEnd"/>
      <w:r w:rsidRPr="00BA20E6">
        <w:rPr>
          <w:rFonts w:ascii="標楷體" w:hAnsi="標楷體" w:hint="eastAsia"/>
          <w:b w:val="0"/>
          <w:sz w:val="24"/>
          <w:szCs w:val="24"/>
        </w:rPr>
        <w:t>謀改善，以提升計畫執行成效。據復：將加強指標監控，督促院所落實指標達成情形，並鼓勵醫學中心及區域醫院提供地區醫院支援醫師，逐步引導民眾回歸社區就醫；持續鼓勵院所加入全民健康保險急性後期整合照護計畫，並蒐集收案條件、評估作業及支付制度等相關建議意見，</w:t>
      </w:r>
      <w:proofErr w:type="gramStart"/>
      <w:r w:rsidRPr="00BA20E6">
        <w:rPr>
          <w:rFonts w:ascii="標楷體" w:hAnsi="標楷體" w:hint="eastAsia"/>
          <w:b w:val="0"/>
          <w:sz w:val="24"/>
          <w:szCs w:val="24"/>
        </w:rPr>
        <w:t>研</w:t>
      </w:r>
      <w:proofErr w:type="gramEnd"/>
      <w:r w:rsidRPr="00BA20E6">
        <w:rPr>
          <w:rFonts w:ascii="標楷體" w:hAnsi="標楷體" w:hint="eastAsia"/>
          <w:b w:val="0"/>
          <w:sz w:val="24"/>
          <w:szCs w:val="24"/>
        </w:rPr>
        <w:t>議修訂計畫。</w:t>
      </w:r>
    </w:p>
    <w:p w:rsidR="0050615E" w:rsidRPr="00BA20E6" w:rsidRDefault="00CB1C82" w:rsidP="00CD6BA4">
      <w:pPr>
        <w:pStyle w:val="af9"/>
        <w:overflowPunct w:val="0"/>
        <w:spacing w:beforeLines="0" w:before="0" w:afterLines="0" w:after="0" w:line="480" w:lineRule="exact"/>
        <w:ind w:firstLineChars="450" w:firstLine="1261"/>
        <w:rPr>
          <w:rFonts w:ascii="標楷體" w:hAnsi="標楷體"/>
          <w:bCs w:val="0"/>
          <w:kern w:val="0"/>
        </w:rPr>
      </w:pPr>
      <w:r w:rsidRPr="00BA20E6">
        <w:rPr>
          <w:rFonts w:ascii="標楷體" w:hAnsi="標楷體" w:hint="eastAsia"/>
          <w:bCs w:val="0"/>
          <w:kern w:val="0"/>
        </w:rPr>
        <w:t>（2）　健保財務虧損逐年擴大，</w:t>
      </w:r>
      <w:r w:rsidR="00966443">
        <w:rPr>
          <w:rFonts w:ascii="標楷體" w:hAnsi="標楷體" w:hint="eastAsia"/>
          <w:bCs w:val="0"/>
          <w:kern w:val="0"/>
        </w:rPr>
        <w:t>已</w:t>
      </w:r>
      <w:r w:rsidR="00E967AA" w:rsidRPr="00BA20E6">
        <w:rPr>
          <w:rFonts w:ascii="標楷體" w:hAnsi="標楷體" w:hint="eastAsia"/>
          <w:bCs w:val="0"/>
          <w:kern w:val="0"/>
        </w:rPr>
        <w:t>於</w:t>
      </w:r>
      <w:r w:rsidRPr="00BA20E6">
        <w:rPr>
          <w:rFonts w:ascii="標楷體" w:hAnsi="標楷體" w:hint="eastAsia"/>
          <w:bCs w:val="0"/>
          <w:kern w:val="0"/>
        </w:rPr>
        <w:t>110年調整保險費率因應，惟調整幅度未能滿足財務平衡收支連動機制條件，恐不足支應未來所需，</w:t>
      </w:r>
      <w:proofErr w:type="gramStart"/>
      <w:r w:rsidRPr="00BA20E6">
        <w:rPr>
          <w:rFonts w:ascii="標楷體" w:hAnsi="標楷體" w:hint="eastAsia"/>
          <w:bCs w:val="0"/>
          <w:kern w:val="0"/>
        </w:rPr>
        <w:t>又論量</w:t>
      </w:r>
      <w:proofErr w:type="gramEnd"/>
      <w:r w:rsidRPr="00BA20E6">
        <w:rPr>
          <w:rFonts w:ascii="標楷體" w:hAnsi="標楷體" w:hint="eastAsia"/>
          <w:bCs w:val="0"/>
          <w:kern w:val="0"/>
        </w:rPr>
        <w:t>計酬下國人醫療需求仍有節制空間，亟待持續推動改革，確保長期財務收支體系</w:t>
      </w:r>
      <w:proofErr w:type="gramStart"/>
      <w:r w:rsidRPr="00BA20E6">
        <w:rPr>
          <w:rFonts w:ascii="標楷體" w:hAnsi="標楷體" w:hint="eastAsia"/>
          <w:bCs w:val="0"/>
          <w:kern w:val="0"/>
        </w:rPr>
        <w:t>健全，</w:t>
      </w:r>
      <w:proofErr w:type="gramEnd"/>
      <w:r w:rsidRPr="00BA20E6">
        <w:rPr>
          <w:rFonts w:ascii="標楷體" w:hAnsi="標楷體" w:hint="eastAsia"/>
          <w:bCs w:val="0"/>
          <w:kern w:val="0"/>
        </w:rPr>
        <w:t>以維繫健保永續運作。</w:t>
      </w:r>
    </w:p>
    <w:p w:rsidR="00CB1C82" w:rsidRPr="00BA20E6" w:rsidRDefault="008B3730" w:rsidP="00CD6BA4">
      <w:pPr>
        <w:pStyle w:val="af9"/>
        <w:overflowPunct w:val="0"/>
        <w:spacing w:beforeLines="0" w:before="0" w:afterLines="0" w:after="0" w:line="460" w:lineRule="exact"/>
        <w:ind w:firstLine="480"/>
        <w:rPr>
          <w:rFonts w:ascii="標楷體" w:hAnsi="標楷體"/>
          <w:b w:val="0"/>
          <w:sz w:val="24"/>
          <w:szCs w:val="24"/>
        </w:rPr>
      </w:pPr>
      <w:r w:rsidRPr="00BA20E6">
        <w:rPr>
          <w:rFonts w:ascii="標楷體" w:hAnsi="標楷體" w:hint="eastAsia"/>
          <w:b w:val="0"/>
          <w:sz w:val="24"/>
          <w:szCs w:val="24"/>
        </w:rPr>
        <w:t>我國自84年3月開辦全民健康保險，迄今已逾25年，提供廣泛之醫療照護服務，維護國人健康。</w:t>
      </w:r>
      <w:proofErr w:type="gramStart"/>
      <w:r w:rsidRPr="00BA20E6">
        <w:rPr>
          <w:rFonts w:ascii="標楷體" w:hAnsi="標楷體" w:hint="eastAsia"/>
          <w:b w:val="0"/>
          <w:sz w:val="24"/>
          <w:szCs w:val="24"/>
        </w:rPr>
        <w:t>惟</w:t>
      </w:r>
      <w:proofErr w:type="gramEnd"/>
      <w:r w:rsidRPr="00BA20E6">
        <w:rPr>
          <w:rFonts w:ascii="標楷體" w:hAnsi="標楷體" w:hint="eastAsia"/>
          <w:b w:val="0"/>
          <w:sz w:val="24"/>
          <w:szCs w:val="24"/>
        </w:rPr>
        <w:t>隨著國內人口快速老化，醫療需求日益提升，加以醫療科技進步，致醫療支出逐年成長，保險支出增幅遠高於保費收入成長幅度，財務面臨危機。</w:t>
      </w:r>
      <w:r w:rsidR="00272536" w:rsidRPr="00BA20E6">
        <w:rPr>
          <w:rFonts w:ascii="標楷體" w:hAnsi="標楷體" w:hint="eastAsia"/>
          <w:b w:val="0"/>
          <w:sz w:val="24"/>
          <w:szCs w:val="24"/>
        </w:rPr>
        <w:t>衛生福利部（下稱</w:t>
      </w:r>
      <w:r w:rsidRPr="00BA20E6">
        <w:rPr>
          <w:rFonts w:ascii="標楷體" w:hAnsi="標楷體" w:hint="eastAsia"/>
          <w:b w:val="0"/>
          <w:sz w:val="24"/>
          <w:szCs w:val="24"/>
        </w:rPr>
        <w:t>衛福部</w:t>
      </w:r>
      <w:r w:rsidR="00272536" w:rsidRPr="00BA20E6">
        <w:rPr>
          <w:rFonts w:ascii="標楷體" w:hAnsi="標楷體" w:hint="eastAsia"/>
          <w:b w:val="0"/>
          <w:sz w:val="24"/>
          <w:szCs w:val="24"/>
        </w:rPr>
        <w:t>）</w:t>
      </w:r>
      <w:r w:rsidRPr="00BA20E6">
        <w:rPr>
          <w:rFonts w:ascii="標楷體" w:hAnsi="標楷體" w:hint="eastAsia"/>
          <w:b w:val="0"/>
          <w:sz w:val="24"/>
          <w:szCs w:val="24"/>
        </w:rPr>
        <w:t>為澈底解決健保財務問題，推動二代健保改革，納入補充保險費收繳機制，擴大保險費基，並建立保險收支連動機制，以確保財務穩定性；</w:t>
      </w:r>
      <w:r w:rsidR="00E967AA" w:rsidRPr="00BA20E6">
        <w:rPr>
          <w:rFonts w:ascii="標楷體" w:hAnsi="標楷體" w:hint="eastAsia"/>
          <w:b w:val="0"/>
          <w:sz w:val="24"/>
          <w:szCs w:val="24"/>
        </w:rPr>
        <w:t>另</w:t>
      </w:r>
      <w:r w:rsidR="00BC3E74" w:rsidRPr="00BA20E6">
        <w:rPr>
          <w:rFonts w:ascii="標楷體" w:hAnsi="標楷體" w:hint="eastAsia"/>
          <w:b w:val="0"/>
          <w:sz w:val="24"/>
          <w:szCs w:val="24"/>
        </w:rPr>
        <w:t>中央健康</w:t>
      </w:r>
      <w:proofErr w:type="gramStart"/>
      <w:r w:rsidR="00BC3E74" w:rsidRPr="00BA20E6">
        <w:rPr>
          <w:rFonts w:ascii="標楷體" w:hAnsi="標楷體" w:hint="eastAsia"/>
          <w:b w:val="0"/>
          <w:sz w:val="24"/>
          <w:szCs w:val="24"/>
        </w:rPr>
        <w:t>保險署</w:t>
      </w:r>
      <w:proofErr w:type="gramEnd"/>
      <w:r w:rsidR="00BC3E74" w:rsidRPr="00BA20E6">
        <w:rPr>
          <w:rFonts w:ascii="標楷體" w:hAnsi="標楷體" w:hint="eastAsia"/>
          <w:b w:val="0"/>
          <w:sz w:val="24"/>
          <w:szCs w:val="24"/>
        </w:rPr>
        <w:t>（下稱健保署）</w:t>
      </w:r>
      <w:r w:rsidRPr="00BA20E6">
        <w:rPr>
          <w:rFonts w:ascii="標楷體" w:hAnsi="標楷體" w:hint="eastAsia"/>
          <w:b w:val="0"/>
          <w:sz w:val="24"/>
          <w:szCs w:val="24"/>
        </w:rPr>
        <w:t>推動</w:t>
      </w:r>
      <w:r w:rsidR="00E967AA" w:rsidRPr="00BA20E6">
        <w:rPr>
          <w:rFonts w:ascii="標楷體" w:hAnsi="標楷體" w:hint="eastAsia"/>
          <w:b w:val="0"/>
          <w:sz w:val="24"/>
          <w:szCs w:val="24"/>
        </w:rPr>
        <w:t>多項支出面</w:t>
      </w:r>
      <w:r w:rsidR="00966443">
        <w:rPr>
          <w:rFonts w:ascii="標楷體" w:hAnsi="標楷體" w:hint="eastAsia"/>
          <w:b w:val="0"/>
          <w:sz w:val="24"/>
          <w:szCs w:val="24"/>
        </w:rPr>
        <w:t>向</w:t>
      </w:r>
      <w:r w:rsidRPr="00BA20E6">
        <w:rPr>
          <w:rFonts w:ascii="標楷體" w:hAnsi="標楷體" w:hint="eastAsia"/>
          <w:b w:val="0"/>
          <w:sz w:val="24"/>
          <w:szCs w:val="24"/>
        </w:rPr>
        <w:t>改革，暨分級醫療及減少重複用藥</w:t>
      </w:r>
      <w:r w:rsidR="00966443">
        <w:rPr>
          <w:rFonts w:ascii="標楷體" w:hAnsi="標楷體" w:hint="eastAsia"/>
          <w:b w:val="0"/>
          <w:sz w:val="24"/>
          <w:szCs w:val="24"/>
        </w:rPr>
        <w:t>、檢驗（查）等節流措施，提升醫療服務品質與資源配置效率。經查</w:t>
      </w:r>
      <w:r w:rsidRPr="00BA20E6">
        <w:rPr>
          <w:rFonts w:ascii="標楷體" w:hAnsi="標楷體" w:hint="eastAsia"/>
          <w:b w:val="0"/>
          <w:sz w:val="24"/>
          <w:szCs w:val="24"/>
        </w:rPr>
        <w:t>全民健康保險運作情形，核有下列事項：</w:t>
      </w:r>
    </w:p>
    <w:p w:rsidR="00CB1C82" w:rsidRPr="001746E5" w:rsidRDefault="00CD6BA4" w:rsidP="001746E5">
      <w:pPr>
        <w:pStyle w:val="af9"/>
        <w:overflowPunct w:val="0"/>
        <w:spacing w:beforeLines="0" w:before="0" w:afterLines="0" w:after="0" w:line="470" w:lineRule="exact"/>
        <w:ind w:firstLineChars="700" w:firstLine="1680"/>
        <w:rPr>
          <w:rFonts w:ascii="標楷體" w:hAnsi="標楷體"/>
          <w:b w:val="0"/>
          <w:sz w:val="24"/>
          <w:szCs w:val="24"/>
        </w:rPr>
      </w:pPr>
      <w:r w:rsidRPr="001746E5">
        <w:rPr>
          <w:rFonts w:ascii="標楷體" w:hAnsi="標楷體"/>
          <w:b w:val="0"/>
          <w:noProof/>
          <w:sz w:val="24"/>
          <w:szCs w:val="24"/>
        </w:rPr>
        <mc:AlternateContent>
          <mc:Choice Requires="wps">
            <w:drawing>
              <wp:anchor distT="0" distB="0" distL="114300" distR="114300" simplePos="0" relativeHeight="251663360" behindDoc="1" locked="0" layoutInCell="1" allowOverlap="1" wp14:anchorId="364A9295" wp14:editId="65E63B43">
                <wp:simplePos x="0" y="0"/>
                <wp:positionH relativeFrom="column">
                  <wp:posOffset>2268220</wp:posOffset>
                </wp:positionH>
                <wp:positionV relativeFrom="paragraph">
                  <wp:posOffset>1496695</wp:posOffset>
                </wp:positionV>
                <wp:extent cx="4210050" cy="2753360"/>
                <wp:effectExtent l="0" t="0" r="0" b="0"/>
                <wp:wrapTight wrapText="bothSides">
                  <wp:wrapPolygon edited="0">
                    <wp:start x="293" y="0"/>
                    <wp:lineTo x="293" y="21371"/>
                    <wp:lineTo x="21209" y="21371"/>
                    <wp:lineTo x="21209" y="0"/>
                    <wp:lineTo x="293"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53360"/>
                        </a:xfrm>
                        <a:prstGeom prst="rect">
                          <a:avLst/>
                        </a:prstGeom>
                        <a:noFill/>
                        <a:ln w="9525">
                          <a:noFill/>
                          <a:miter lim="800000"/>
                          <a:headEnd/>
                          <a:tailEnd/>
                        </a:ln>
                      </wps:spPr>
                      <wps:txbx>
                        <w:txbxContent>
                          <w:p w:rsidR="00935804" w:rsidRPr="0036623D" w:rsidRDefault="00935804" w:rsidP="0036623D">
                            <w:pPr>
                              <w:spacing w:line="280" w:lineRule="exact"/>
                              <w:jc w:val="center"/>
                              <w:rPr>
                                <w:sz w:val="20"/>
                              </w:rPr>
                            </w:pPr>
                            <w:r w:rsidRPr="0036623D">
                              <w:rPr>
                                <w:rFonts w:ascii="標楷體" w:eastAsia="標楷體" w:hAnsi="標楷體" w:hint="eastAsia"/>
                                <w:b/>
                              </w:rPr>
                              <w:t>圖1</w:t>
                            </w:r>
                            <w:r w:rsidRPr="0036623D">
                              <w:rPr>
                                <w:rFonts w:ascii="標楷體" w:eastAsia="標楷體" w:hAnsi="標楷體" w:hint="eastAsia"/>
                                <w:b/>
                                <w:szCs w:val="28"/>
                              </w:rPr>
                              <w:t xml:space="preserve">　</w:t>
                            </w:r>
                            <w:r w:rsidRPr="0036623D">
                              <w:rPr>
                                <w:rFonts w:ascii="標楷體" w:eastAsia="標楷體" w:hAnsi="標楷體" w:hint="eastAsia"/>
                                <w:b/>
                              </w:rPr>
                              <w:t>健保基金保險收支餘</w:t>
                            </w:r>
                            <w:proofErr w:type="gramStart"/>
                            <w:r w:rsidRPr="0036623D">
                              <w:rPr>
                                <w:rFonts w:ascii="標楷體" w:eastAsia="標楷體" w:hAnsi="標楷體" w:hint="eastAsia"/>
                                <w:b/>
                              </w:rPr>
                              <w:t>絀</w:t>
                            </w:r>
                            <w:proofErr w:type="gramEnd"/>
                            <w:r w:rsidRPr="0036623D">
                              <w:rPr>
                                <w:rFonts w:ascii="標楷體" w:eastAsia="標楷體" w:hAnsi="標楷體" w:hint="eastAsia"/>
                                <w:b/>
                              </w:rPr>
                              <w:t>及安全準備餘額情形</w:t>
                            </w:r>
                          </w:p>
                          <w:p w:rsidR="00935804" w:rsidRPr="0036623D" w:rsidRDefault="00935804">
                            <w:r w:rsidRPr="0036623D">
                              <w:rPr>
                                <w:noProof/>
                              </w:rPr>
                              <w:drawing>
                                <wp:inline distT="0" distB="0" distL="0" distR="0" wp14:anchorId="4BE9405C" wp14:editId="4E56F95D">
                                  <wp:extent cx="4085863" cy="2106593"/>
                                  <wp:effectExtent l="0" t="0" r="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5804" w:rsidRPr="0036623D" w:rsidRDefault="00935804" w:rsidP="0036623D">
                            <w:pPr>
                              <w:spacing w:line="200" w:lineRule="exact"/>
                              <w:rPr>
                                <w:sz w:val="18"/>
                              </w:rPr>
                            </w:pPr>
                            <w:r w:rsidRPr="0036623D">
                              <w:rPr>
                                <w:rFonts w:ascii="標楷體" w:eastAsia="標楷體" w:hAnsi="標楷體" w:hint="eastAsia"/>
                                <w:sz w:val="18"/>
                              </w:rPr>
                              <w:t>資料來源：整理自健保署提供資料。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78.6pt;margin-top:117.85pt;width:331.5pt;height:216.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" filled="f" stroked="f">
                <v:textbox>
                  <w:txbxContent>
                    <w:p w:rsidR="00935804" w:rsidRPr="0036623D" w:rsidRDefault="00935804" w:rsidP="0036623D">
                      <w:pPr>
                        <w:spacing w:line="280" w:lineRule="exact"/>
                        <w:jc w:val="center"/>
                        <w:rPr>
                          <w:sz w:val="20"/>
                        </w:rPr>
                      </w:pPr>
                      <w:r w:rsidRPr="0036623D">
                        <w:rPr>
                          <w:rFonts w:ascii="標楷體" w:eastAsia="標楷體" w:hAnsi="標楷體" w:hint="eastAsia"/>
                          <w:b/>
                        </w:rPr>
                        <w:t>圖1</w:t>
                      </w:r>
                      <w:r w:rsidRPr="0036623D">
                        <w:rPr>
                          <w:rFonts w:ascii="標楷體" w:eastAsia="標楷體" w:hAnsi="標楷體" w:hint="eastAsia"/>
                          <w:b/>
                          <w:szCs w:val="28"/>
                        </w:rPr>
                        <w:t xml:space="preserve">　</w:t>
                      </w:r>
                      <w:r w:rsidRPr="0036623D">
                        <w:rPr>
                          <w:rFonts w:ascii="標楷體" w:eastAsia="標楷體" w:hAnsi="標楷體" w:hint="eastAsia"/>
                          <w:b/>
                        </w:rPr>
                        <w:t>健保基金保險收支餘</w:t>
                      </w:r>
                      <w:proofErr w:type="gramStart"/>
                      <w:r w:rsidRPr="0036623D">
                        <w:rPr>
                          <w:rFonts w:ascii="標楷體" w:eastAsia="標楷體" w:hAnsi="標楷體" w:hint="eastAsia"/>
                          <w:b/>
                        </w:rPr>
                        <w:t>絀</w:t>
                      </w:r>
                      <w:proofErr w:type="gramEnd"/>
                      <w:r w:rsidRPr="0036623D">
                        <w:rPr>
                          <w:rFonts w:ascii="標楷體" w:eastAsia="標楷體" w:hAnsi="標楷體" w:hint="eastAsia"/>
                          <w:b/>
                        </w:rPr>
                        <w:t>及安全準備餘額情形</w:t>
                      </w:r>
                    </w:p>
                    <w:p w:rsidR="00935804" w:rsidRPr="0036623D" w:rsidRDefault="00935804">
                      <w:r w:rsidRPr="0036623D">
                        <w:rPr>
                          <w:noProof/>
                        </w:rPr>
                        <w:drawing>
                          <wp:inline distT="0" distB="0" distL="0" distR="0" wp14:anchorId="4BE9405C" wp14:editId="4E56F95D">
                            <wp:extent cx="4085863" cy="2106593"/>
                            <wp:effectExtent l="0" t="0" r="0" b="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5804" w:rsidRPr="0036623D" w:rsidRDefault="00935804" w:rsidP="0036623D">
                      <w:pPr>
                        <w:spacing w:line="200" w:lineRule="exact"/>
                        <w:rPr>
                          <w:sz w:val="18"/>
                        </w:rPr>
                      </w:pPr>
                      <w:r w:rsidRPr="0036623D">
                        <w:rPr>
                          <w:rFonts w:ascii="標楷體" w:eastAsia="標楷體" w:hAnsi="標楷體" w:hint="eastAsia"/>
                          <w:sz w:val="18"/>
                        </w:rPr>
                        <w:t>資料來源：整理自健保署提供資料。</w:t>
                      </w:r>
                    </w:p>
                  </w:txbxContent>
                </v:textbox>
                <w10:wrap type="tight"/>
              </v:shape>
            </w:pict>
          </mc:Fallback>
        </mc:AlternateContent>
      </w:r>
      <w:r w:rsidR="008B3730" w:rsidRPr="001746E5">
        <w:rPr>
          <w:rFonts w:ascii="標楷體" w:hAnsi="標楷體" w:hint="eastAsia"/>
          <w:sz w:val="24"/>
          <w:szCs w:val="24"/>
        </w:rPr>
        <w:t>A.</w:t>
      </w:r>
      <w:r w:rsidR="000B510B" w:rsidRPr="001746E5">
        <w:rPr>
          <w:rFonts w:ascii="標楷體" w:hAnsi="標楷體" w:hint="eastAsia"/>
          <w:sz w:val="24"/>
          <w:szCs w:val="24"/>
        </w:rPr>
        <w:t xml:space="preserve">　</w:t>
      </w:r>
      <w:r w:rsidR="00A624F5" w:rsidRPr="001746E5">
        <w:rPr>
          <w:rFonts w:ascii="標楷體" w:hAnsi="標楷體" w:hint="eastAsia"/>
          <w:sz w:val="24"/>
          <w:szCs w:val="24"/>
        </w:rPr>
        <w:t>健保財務虧損逐年擴大，</w:t>
      </w:r>
      <w:r w:rsidR="00966443">
        <w:rPr>
          <w:rFonts w:ascii="標楷體" w:hAnsi="標楷體" w:hint="eastAsia"/>
          <w:sz w:val="24"/>
          <w:szCs w:val="24"/>
        </w:rPr>
        <w:t>已</w:t>
      </w:r>
      <w:r w:rsidR="00E967AA" w:rsidRPr="001746E5">
        <w:rPr>
          <w:rFonts w:ascii="標楷體" w:hAnsi="標楷體" w:hint="eastAsia"/>
          <w:sz w:val="24"/>
          <w:szCs w:val="24"/>
        </w:rPr>
        <w:t>於</w:t>
      </w:r>
      <w:r w:rsidR="00A624F5" w:rsidRPr="001746E5">
        <w:rPr>
          <w:rFonts w:ascii="標楷體" w:hAnsi="標楷體" w:hint="eastAsia"/>
          <w:sz w:val="24"/>
          <w:szCs w:val="24"/>
        </w:rPr>
        <w:t>110年調整保險費率因應，惟調整幅度仍未滿足財務平衡收支連動機制要件，恐不足支應未來所需，允宜積極</w:t>
      </w:r>
      <w:proofErr w:type="gramStart"/>
      <w:r w:rsidR="00A624F5" w:rsidRPr="001746E5">
        <w:rPr>
          <w:rFonts w:ascii="標楷體" w:hAnsi="標楷體" w:hint="eastAsia"/>
          <w:sz w:val="24"/>
          <w:szCs w:val="24"/>
        </w:rPr>
        <w:t>研</w:t>
      </w:r>
      <w:proofErr w:type="gramEnd"/>
      <w:r w:rsidR="00A624F5" w:rsidRPr="001746E5">
        <w:rPr>
          <w:rFonts w:ascii="標楷體" w:hAnsi="標楷體" w:hint="eastAsia"/>
          <w:sz w:val="24"/>
          <w:szCs w:val="24"/>
        </w:rPr>
        <w:t>謀因應：</w:t>
      </w:r>
      <w:r w:rsidR="00E967AA" w:rsidRPr="001746E5">
        <w:rPr>
          <w:rFonts w:ascii="標楷體" w:hAnsi="標楷體" w:hint="eastAsia"/>
          <w:b w:val="0"/>
          <w:sz w:val="24"/>
          <w:szCs w:val="24"/>
        </w:rPr>
        <w:t>按全民健康保險法（下稱健保法）第24條規定，保險費率由全民健康保險會（下稱健保會）審議完成後，報主管機關轉報行政院核定後由主管機關公告之。健保會業訂定「健保財務平衡及收支連動機制」，建立費率調整之審議機制，以落實健保法第78條規定</w:t>
      </w:r>
      <w:r w:rsidR="00FC5F19" w:rsidRPr="001746E5">
        <w:rPr>
          <w:rFonts w:ascii="標楷體" w:hAnsi="標楷體" w:hint="eastAsia"/>
          <w:b w:val="0"/>
          <w:sz w:val="24"/>
          <w:szCs w:val="24"/>
        </w:rPr>
        <w:t>保險安全準備總額為1至3個月保險給付支出之</w:t>
      </w:r>
      <w:r w:rsidR="00E967AA" w:rsidRPr="001746E5">
        <w:rPr>
          <w:rFonts w:ascii="標楷體" w:hAnsi="標楷體" w:hint="eastAsia"/>
          <w:b w:val="0"/>
          <w:sz w:val="24"/>
          <w:szCs w:val="24"/>
        </w:rPr>
        <w:t>原則。</w:t>
      </w:r>
      <w:r w:rsidR="00FC5F19" w:rsidRPr="001746E5">
        <w:rPr>
          <w:rFonts w:ascii="標楷體" w:hAnsi="標楷體" w:hint="eastAsia"/>
          <w:b w:val="0"/>
          <w:sz w:val="24"/>
          <w:szCs w:val="24"/>
        </w:rPr>
        <w:t>全民健康保險實施保費新制以來，財務狀況業獲改善，惟因醫療費用成長，自</w:t>
      </w:r>
      <w:proofErr w:type="gramStart"/>
      <w:r w:rsidR="00FC5F19" w:rsidRPr="001746E5">
        <w:rPr>
          <w:rFonts w:ascii="標楷體" w:hAnsi="標楷體" w:hint="eastAsia"/>
          <w:b w:val="0"/>
          <w:sz w:val="24"/>
          <w:szCs w:val="24"/>
        </w:rPr>
        <w:t>105</w:t>
      </w:r>
      <w:proofErr w:type="gramEnd"/>
      <w:r w:rsidR="00FC5F19" w:rsidRPr="001746E5">
        <w:rPr>
          <w:rFonts w:ascii="標楷體" w:hAnsi="標楷體" w:hint="eastAsia"/>
          <w:b w:val="0"/>
          <w:sz w:val="24"/>
          <w:szCs w:val="24"/>
        </w:rPr>
        <w:t>年度起保費收入即不敷支應保險給付，</w:t>
      </w:r>
      <w:proofErr w:type="gramStart"/>
      <w:r w:rsidR="00FC5F19" w:rsidRPr="001746E5">
        <w:rPr>
          <w:rFonts w:ascii="標楷體" w:hAnsi="標楷體" w:hint="eastAsia"/>
          <w:b w:val="0"/>
          <w:sz w:val="24"/>
          <w:szCs w:val="24"/>
        </w:rPr>
        <w:t>109</w:t>
      </w:r>
      <w:proofErr w:type="gramEnd"/>
      <w:r w:rsidR="00FC5F19" w:rsidRPr="001746E5">
        <w:rPr>
          <w:rFonts w:ascii="標楷體" w:hAnsi="標楷體" w:hint="eastAsia"/>
          <w:b w:val="0"/>
          <w:sz w:val="24"/>
          <w:szCs w:val="24"/>
        </w:rPr>
        <w:t>年度保險收支短</w:t>
      </w:r>
      <w:proofErr w:type="gramStart"/>
      <w:r w:rsidR="00FC5F19" w:rsidRPr="001746E5">
        <w:rPr>
          <w:rFonts w:ascii="標楷體" w:hAnsi="標楷體" w:hint="eastAsia"/>
          <w:b w:val="0"/>
          <w:sz w:val="24"/>
          <w:szCs w:val="24"/>
        </w:rPr>
        <w:t>絀</w:t>
      </w:r>
      <w:proofErr w:type="gramEnd"/>
      <w:r w:rsidR="00FC5F19" w:rsidRPr="001746E5">
        <w:rPr>
          <w:rFonts w:ascii="標楷體" w:hAnsi="標楷體" w:hint="eastAsia"/>
          <w:b w:val="0"/>
          <w:sz w:val="24"/>
          <w:szCs w:val="24"/>
        </w:rPr>
        <w:t>達676億餘元，截至109年底止，安全準備餘額為1,091億餘元</w:t>
      </w:r>
      <w:r w:rsidR="004714C4" w:rsidRPr="001746E5">
        <w:rPr>
          <w:rFonts w:ascii="標楷體" w:hAnsi="標楷體" w:hint="eastAsia"/>
          <w:b w:val="0"/>
          <w:sz w:val="24"/>
          <w:szCs w:val="24"/>
        </w:rPr>
        <w:t>（圖1）</w:t>
      </w:r>
      <w:r w:rsidR="00FC5F19" w:rsidRPr="001746E5">
        <w:rPr>
          <w:rFonts w:ascii="標楷體" w:hAnsi="標楷體" w:hint="eastAsia"/>
          <w:b w:val="0"/>
          <w:sz w:val="24"/>
          <w:szCs w:val="24"/>
        </w:rPr>
        <w:t>，折合保險給付支出月數約1.88個月，收支缺口逐年擴大。</w:t>
      </w:r>
      <w:r w:rsidR="00EB6262" w:rsidRPr="001746E5">
        <w:rPr>
          <w:rFonts w:ascii="標楷體" w:hAnsi="標楷體" w:hint="eastAsia"/>
          <w:b w:val="0"/>
          <w:sz w:val="24"/>
          <w:szCs w:val="24"/>
        </w:rPr>
        <w:t>前經本部辦理</w:t>
      </w:r>
      <w:proofErr w:type="gramStart"/>
      <w:r w:rsidR="00EB6262" w:rsidRPr="001746E5">
        <w:rPr>
          <w:rFonts w:ascii="標楷體" w:hAnsi="標楷體" w:hint="eastAsia"/>
          <w:b w:val="0"/>
          <w:sz w:val="24"/>
          <w:szCs w:val="24"/>
        </w:rPr>
        <w:lastRenderedPageBreak/>
        <w:t>108</w:t>
      </w:r>
      <w:proofErr w:type="gramEnd"/>
      <w:r w:rsidR="00EB6262" w:rsidRPr="001746E5">
        <w:rPr>
          <w:rFonts w:ascii="標楷體" w:hAnsi="標楷體" w:hint="eastAsia"/>
          <w:b w:val="0"/>
          <w:sz w:val="24"/>
          <w:szCs w:val="24"/>
        </w:rPr>
        <w:t>年度全民健康保險基金財務收支及決算抽查，建</w:t>
      </w:r>
      <w:proofErr w:type="gramStart"/>
      <w:r w:rsidR="00EB6262" w:rsidRPr="001746E5">
        <w:rPr>
          <w:rFonts w:ascii="標楷體" w:hAnsi="標楷體" w:hint="eastAsia"/>
          <w:b w:val="0"/>
          <w:sz w:val="24"/>
          <w:szCs w:val="24"/>
        </w:rPr>
        <w:t>請衛福部研</w:t>
      </w:r>
      <w:proofErr w:type="gramEnd"/>
      <w:r w:rsidR="00EB6262" w:rsidRPr="001746E5">
        <w:rPr>
          <w:rFonts w:ascii="標楷體" w:hAnsi="標楷體" w:hint="eastAsia"/>
          <w:b w:val="0"/>
          <w:sz w:val="24"/>
          <w:szCs w:val="24"/>
        </w:rPr>
        <w:t>議檢討保險費率調整機制之周延性，及早推動改革納入多元調整因子，促使費率調整趨於平滑化，以減緩對民眾之衝擊。</w:t>
      </w:r>
      <w:r w:rsidR="00966443">
        <w:rPr>
          <w:rFonts w:ascii="標楷體" w:hAnsi="標楷體" w:hint="eastAsia"/>
          <w:b w:val="0"/>
          <w:sz w:val="24"/>
          <w:szCs w:val="24"/>
        </w:rPr>
        <w:t>據復</w:t>
      </w:r>
      <w:r w:rsidR="00BA3C4D" w:rsidRPr="001746E5">
        <w:rPr>
          <w:rFonts w:ascii="標楷體" w:hAnsi="標楷體" w:hint="eastAsia"/>
          <w:b w:val="0"/>
          <w:sz w:val="24"/>
          <w:szCs w:val="24"/>
        </w:rPr>
        <w:t>將在兼顧負擔公平性、執行面可行性與財源穩定性之原則下，適時提出改革方向，並與各界溝通尋求共識方案。</w:t>
      </w:r>
      <w:r w:rsidR="00FC5F19" w:rsidRPr="001746E5">
        <w:rPr>
          <w:rFonts w:ascii="標楷體" w:hAnsi="標楷體" w:hint="eastAsia"/>
          <w:b w:val="0"/>
          <w:sz w:val="24"/>
          <w:szCs w:val="24"/>
        </w:rPr>
        <w:t>經查</w:t>
      </w:r>
      <w:proofErr w:type="gramStart"/>
      <w:r w:rsidR="00FC5F19" w:rsidRPr="001746E5">
        <w:rPr>
          <w:rFonts w:ascii="標楷體" w:hAnsi="標楷體" w:hint="eastAsia"/>
          <w:b w:val="0"/>
          <w:sz w:val="24"/>
          <w:szCs w:val="24"/>
        </w:rPr>
        <w:t>健保署推估</w:t>
      </w:r>
      <w:proofErr w:type="gramEnd"/>
      <w:r w:rsidR="00FC5F19" w:rsidRPr="001746E5">
        <w:rPr>
          <w:rFonts w:ascii="標楷體" w:hAnsi="標楷體" w:hint="eastAsia"/>
          <w:b w:val="0"/>
          <w:sz w:val="24"/>
          <w:szCs w:val="24"/>
        </w:rPr>
        <w:t>在維持一般保險費率4.69％、補充保險費率1.91％情況下，</w:t>
      </w:r>
      <w:proofErr w:type="gramStart"/>
      <w:r w:rsidR="00FC5F19" w:rsidRPr="001746E5">
        <w:rPr>
          <w:rFonts w:ascii="標楷體" w:hAnsi="標楷體" w:hint="eastAsia"/>
          <w:b w:val="0"/>
          <w:sz w:val="24"/>
          <w:szCs w:val="24"/>
        </w:rPr>
        <w:t>110</w:t>
      </w:r>
      <w:proofErr w:type="gramEnd"/>
      <w:r w:rsidR="00FC5F19" w:rsidRPr="001746E5">
        <w:rPr>
          <w:rFonts w:ascii="標楷體" w:hAnsi="標楷體" w:hint="eastAsia"/>
          <w:b w:val="0"/>
          <w:sz w:val="24"/>
          <w:szCs w:val="24"/>
        </w:rPr>
        <w:t>年度健保安全準備餘額將不足維持1個月保險給付支出之最低法定標準，已達啟動費率調升條件。</w:t>
      </w:r>
      <w:proofErr w:type="gramStart"/>
      <w:r w:rsidR="00FC5F19" w:rsidRPr="001746E5">
        <w:rPr>
          <w:rFonts w:ascii="標楷體" w:hAnsi="標楷體" w:hint="eastAsia"/>
          <w:b w:val="0"/>
          <w:sz w:val="24"/>
          <w:szCs w:val="24"/>
        </w:rPr>
        <w:t>據衛福部及</w:t>
      </w:r>
      <w:proofErr w:type="gramEnd"/>
      <w:r w:rsidR="00FC5F19" w:rsidRPr="001746E5">
        <w:rPr>
          <w:rFonts w:ascii="標楷體" w:hAnsi="標楷體" w:hint="eastAsia"/>
          <w:b w:val="0"/>
          <w:sz w:val="24"/>
          <w:szCs w:val="24"/>
        </w:rPr>
        <w:t>健保會109年12月公告指出，因國內經濟成長受</w:t>
      </w:r>
      <w:proofErr w:type="gramStart"/>
      <w:r w:rsidR="00FC5F19" w:rsidRPr="001746E5">
        <w:rPr>
          <w:rFonts w:ascii="標楷體" w:hAnsi="標楷體" w:hint="eastAsia"/>
          <w:b w:val="0"/>
          <w:sz w:val="24"/>
          <w:szCs w:val="24"/>
        </w:rPr>
        <w:t>新型冠</w:t>
      </w:r>
      <w:proofErr w:type="gramEnd"/>
      <w:r w:rsidR="00FC5F19" w:rsidRPr="001746E5">
        <w:rPr>
          <w:rFonts w:ascii="標楷體" w:hAnsi="標楷體" w:hint="eastAsia"/>
          <w:b w:val="0"/>
          <w:sz w:val="24"/>
          <w:szCs w:val="24"/>
        </w:rPr>
        <w:t>狀病毒肺炎</w:t>
      </w:r>
      <w:r w:rsidR="00BB2C92" w:rsidRPr="001746E5">
        <w:rPr>
          <w:rFonts w:ascii="標楷體" w:hAnsi="標楷體" w:hint="eastAsia"/>
          <w:b w:val="0"/>
          <w:sz w:val="24"/>
          <w:szCs w:val="24"/>
        </w:rPr>
        <w:t>（COVID－19）</w:t>
      </w:r>
      <w:proofErr w:type="gramStart"/>
      <w:r w:rsidR="00FC5F19" w:rsidRPr="001746E5">
        <w:rPr>
          <w:rFonts w:ascii="標楷體" w:hAnsi="標楷體" w:hint="eastAsia"/>
          <w:b w:val="0"/>
          <w:sz w:val="24"/>
          <w:szCs w:val="24"/>
        </w:rPr>
        <w:t>疫</w:t>
      </w:r>
      <w:proofErr w:type="gramEnd"/>
      <w:r w:rsidR="00FC5F19" w:rsidRPr="001746E5">
        <w:rPr>
          <w:rFonts w:ascii="標楷體" w:hAnsi="標楷體" w:hint="eastAsia"/>
          <w:b w:val="0"/>
          <w:sz w:val="24"/>
          <w:szCs w:val="24"/>
        </w:rPr>
        <w:t>情影響，考量民眾負擔能力、醫療環境與健保財務</w:t>
      </w:r>
      <w:proofErr w:type="gramStart"/>
      <w:r w:rsidR="00FC5F19" w:rsidRPr="001746E5">
        <w:rPr>
          <w:rFonts w:ascii="標楷體" w:hAnsi="標楷體" w:hint="eastAsia"/>
          <w:b w:val="0"/>
          <w:sz w:val="24"/>
          <w:szCs w:val="24"/>
        </w:rPr>
        <w:t>健全，</w:t>
      </w:r>
      <w:proofErr w:type="gramEnd"/>
      <w:r w:rsidR="00FC5F19" w:rsidRPr="001746E5">
        <w:rPr>
          <w:rFonts w:ascii="標楷體" w:hAnsi="標楷體" w:hint="eastAsia"/>
          <w:b w:val="0"/>
          <w:sz w:val="24"/>
          <w:szCs w:val="24"/>
        </w:rPr>
        <w:t>應以漸進式調整費率為宜，</w:t>
      </w:r>
      <w:proofErr w:type="gramStart"/>
      <w:r w:rsidR="00FC5F19" w:rsidRPr="001746E5">
        <w:rPr>
          <w:rFonts w:ascii="標楷體" w:hAnsi="標楷體" w:hint="eastAsia"/>
          <w:b w:val="0"/>
          <w:sz w:val="24"/>
          <w:szCs w:val="24"/>
        </w:rPr>
        <w:t>爰</w:t>
      </w:r>
      <w:proofErr w:type="gramEnd"/>
      <w:r w:rsidR="00FC5F19" w:rsidRPr="001746E5">
        <w:rPr>
          <w:rFonts w:ascii="標楷體" w:hAnsi="標楷體" w:hint="eastAsia"/>
          <w:b w:val="0"/>
          <w:sz w:val="24"/>
          <w:szCs w:val="24"/>
        </w:rPr>
        <w:t>經行政院核定自110年1月1日起，將一般保險費率調整至5.17％，補充保險費率調整至2.11％，以維持財務基本穩定。惟據</w:t>
      </w:r>
      <w:proofErr w:type="gramStart"/>
      <w:r w:rsidR="00FC5F19" w:rsidRPr="001746E5">
        <w:rPr>
          <w:rFonts w:ascii="標楷體" w:hAnsi="標楷體" w:hint="eastAsia"/>
          <w:b w:val="0"/>
          <w:sz w:val="24"/>
          <w:szCs w:val="24"/>
        </w:rPr>
        <w:t>健保署推估</w:t>
      </w:r>
      <w:proofErr w:type="gramEnd"/>
      <w:r w:rsidR="00FC5F19" w:rsidRPr="001746E5">
        <w:rPr>
          <w:rFonts w:ascii="標楷體" w:hAnsi="標楷體" w:hint="eastAsia"/>
          <w:b w:val="0"/>
          <w:sz w:val="24"/>
          <w:szCs w:val="24"/>
        </w:rPr>
        <w:t>，依行政院核定之110年醫療給付費用總額成長率4.1</w:t>
      </w:r>
      <w:r w:rsidR="00BF6033">
        <w:rPr>
          <w:rFonts w:ascii="標楷體" w:hAnsi="標楷體" w:hint="eastAsia"/>
          <w:b w:val="0"/>
          <w:sz w:val="24"/>
          <w:szCs w:val="24"/>
        </w:rPr>
        <w:t>1</w:t>
      </w:r>
      <w:r w:rsidR="00FC5F19" w:rsidRPr="001746E5">
        <w:rPr>
          <w:rFonts w:ascii="標楷體" w:hAnsi="標楷體" w:hint="eastAsia"/>
          <w:b w:val="0"/>
          <w:sz w:val="24"/>
          <w:szCs w:val="24"/>
        </w:rPr>
        <w:t>％估算，在調整後之保險費率下，110年保險收支短</w:t>
      </w:r>
      <w:proofErr w:type="gramStart"/>
      <w:r w:rsidR="00FC5F19" w:rsidRPr="001746E5">
        <w:rPr>
          <w:rFonts w:ascii="標楷體" w:hAnsi="標楷體" w:hint="eastAsia"/>
          <w:b w:val="0"/>
          <w:sz w:val="24"/>
          <w:szCs w:val="24"/>
        </w:rPr>
        <w:t>絀</w:t>
      </w:r>
      <w:proofErr w:type="gramEnd"/>
      <w:r w:rsidR="00FC5F19" w:rsidRPr="001746E5">
        <w:rPr>
          <w:rFonts w:ascii="標楷體" w:hAnsi="標楷體" w:hint="eastAsia"/>
          <w:b w:val="0"/>
          <w:sz w:val="24"/>
          <w:szCs w:val="24"/>
        </w:rPr>
        <w:t>約240億餘元，當年底安全準備餘額約864億餘元，折合保險給付支出月數約1.43個月，已在費率調整啟動之1.5個月要件範圍內，甚至111年預估保險收支短</w:t>
      </w:r>
      <w:proofErr w:type="gramStart"/>
      <w:r w:rsidR="00FC5F19" w:rsidRPr="001746E5">
        <w:rPr>
          <w:rFonts w:ascii="標楷體" w:hAnsi="標楷體" w:hint="eastAsia"/>
          <w:b w:val="0"/>
          <w:sz w:val="24"/>
          <w:szCs w:val="24"/>
        </w:rPr>
        <w:t>絀</w:t>
      </w:r>
      <w:proofErr w:type="gramEnd"/>
      <w:r w:rsidR="00FC5F19" w:rsidRPr="001746E5">
        <w:rPr>
          <w:rFonts w:ascii="標楷體" w:hAnsi="標楷體" w:hint="eastAsia"/>
          <w:b w:val="0"/>
          <w:sz w:val="24"/>
          <w:szCs w:val="24"/>
        </w:rPr>
        <w:t>將達453億餘元，至年底健保安全準備僅餘411億餘元，折合保險給付支出月數旋即降至0.65個月，仍將面臨安全準備用罄之嚴峻財務危機，須再次啟動保險費率調漲機制。顯示此次費率調漲雖已符合健保法第78條安全準備餘額維持約1個月保險給付支出之規定，惟未能符合健保財務平衡及收支連動機制所訂調漲後費率應以至第2年年底可維持2個月保險給付支出金額之原則，若至112年調整保險費率，據</w:t>
      </w:r>
      <w:proofErr w:type="gramStart"/>
      <w:r w:rsidR="00FC5F19" w:rsidRPr="001746E5">
        <w:rPr>
          <w:rFonts w:ascii="標楷體" w:hAnsi="標楷體" w:hint="eastAsia"/>
          <w:b w:val="0"/>
          <w:sz w:val="24"/>
          <w:szCs w:val="24"/>
        </w:rPr>
        <w:t>健保署推估</w:t>
      </w:r>
      <w:proofErr w:type="gramEnd"/>
      <w:r w:rsidR="00FC5F19" w:rsidRPr="001746E5">
        <w:rPr>
          <w:rFonts w:ascii="標楷體" w:hAnsi="標楷體" w:hint="eastAsia"/>
          <w:b w:val="0"/>
          <w:sz w:val="24"/>
          <w:szCs w:val="24"/>
        </w:rPr>
        <w:t>，在現行財務收支結構不變情況下，平衡費率</w:t>
      </w:r>
      <w:proofErr w:type="gramStart"/>
      <w:r w:rsidR="00FC5F19" w:rsidRPr="001746E5">
        <w:rPr>
          <w:rFonts w:ascii="標楷體" w:hAnsi="標楷體" w:hint="eastAsia"/>
          <w:b w:val="0"/>
          <w:sz w:val="24"/>
          <w:szCs w:val="24"/>
        </w:rPr>
        <w:t>恐</w:t>
      </w:r>
      <w:proofErr w:type="gramEnd"/>
      <w:r w:rsidR="00FC5F19" w:rsidRPr="001746E5">
        <w:rPr>
          <w:rFonts w:ascii="標楷體" w:hAnsi="標楷體" w:hint="eastAsia"/>
          <w:b w:val="0"/>
          <w:sz w:val="24"/>
          <w:szCs w:val="24"/>
        </w:rPr>
        <w:t>突破6％，將逾越健保法第18條規定上限。</w:t>
      </w:r>
      <w:r w:rsidR="00EB6262" w:rsidRPr="001746E5">
        <w:rPr>
          <w:rFonts w:ascii="標楷體" w:hAnsi="標楷體" w:hint="eastAsia"/>
          <w:b w:val="0"/>
          <w:sz w:val="24"/>
          <w:szCs w:val="24"/>
        </w:rPr>
        <w:t>經再函</w:t>
      </w:r>
      <w:proofErr w:type="gramStart"/>
      <w:r w:rsidR="00EB6262" w:rsidRPr="001746E5">
        <w:rPr>
          <w:rFonts w:ascii="標楷體" w:hAnsi="標楷體" w:hint="eastAsia"/>
          <w:b w:val="0"/>
          <w:sz w:val="24"/>
          <w:szCs w:val="24"/>
        </w:rPr>
        <w:t>請衛福部積極研</w:t>
      </w:r>
      <w:proofErr w:type="gramEnd"/>
      <w:r w:rsidR="00EB6262" w:rsidRPr="001746E5">
        <w:rPr>
          <w:rFonts w:ascii="標楷體" w:hAnsi="標楷體" w:hint="eastAsia"/>
          <w:b w:val="0"/>
          <w:sz w:val="24"/>
          <w:szCs w:val="24"/>
        </w:rPr>
        <w:t>謀因應，以維健保財務長期穩健及世代負擔之公平正義，維繫健保永續運作。</w:t>
      </w:r>
      <w:r w:rsidR="002F0C67" w:rsidRPr="001746E5">
        <w:rPr>
          <w:rFonts w:ascii="標楷體" w:hAnsi="標楷體" w:hint="eastAsia"/>
          <w:b w:val="0"/>
          <w:sz w:val="24"/>
          <w:szCs w:val="24"/>
        </w:rPr>
        <w:t>據復：</w:t>
      </w:r>
      <w:r w:rsidR="00E06EF8" w:rsidRPr="001746E5">
        <w:rPr>
          <w:rFonts w:ascii="標楷體" w:hAnsi="標楷體" w:hint="eastAsia"/>
          <w:b w:val="0"/>
          <w:sz w:val="24"/>
          <w:szCs w:val="24"/>
        </w:rPr>
        <w:t>將定期檢討保險給付與保險費率，以確保財務平衡，並秉持「維持公平」、「提升效率」與「改善全民健康」三項核心價值，蒐集各界意見，積極</w:t>
      </w:r>
      <w:proofErr w:type="gramStart"/>
      <w:r w:rsidR="00E06EF8" w:rsidRPr="001746E5">
        <w:rPr>
          <w:rFonts w:ascii="標楷體" w:hAnsi="標楷體" w:hint="eastAsia"/>
          <w:b w:val="0"/>
          <w:sz w:val="24"/>
          <w:szCs w:val="24"/>
        </w:rPr>
        <w:t>研</w:t>
      </w:r>
      <w:proofErr w:type="gramEnd"/>
      <w:r w:rsidR="00E06EF8" w:rsidRPr="001746E5">
        <w:rPr>
          <w:rFonts w:ascii="標楷體" w:hAnsi="標楷體" w:hint="eastAsia"/>
          <w:b w:val="0"/>
          <w:sz w:val="24"/>
          <w:szCs w:val="24"/>
        </w:rPr>
        <w:t>議各項改革措施，必要時進行法規修正，以維健保財務長期穩健，永續保障國人健康權益。</w:t>
      </w:r>
    </w:p>
    <w:p w:rsidR="00A624F5" w:rsidRPr="00BA20E6" w:rsidRDefault="00A624F5" w:rsidP="00F5241A">
      <w:pPr>
        <w:pStyle w:val="af9"/>
        <w:overflowPunct w:val="0"/>
        <w:spacing w:beforeLines="0" w:before="0" w:afterLines="0" w:after="0" w:line="480" w:lineRule="exact"/>
        <w:ind w:firstLineChars="700" w:firstLine="1682"/>
        <w:rPr>
          <w:rFonts w:ascii="標楷體" w:hAnsi="標楷體"/>
          <w:b w:val="0"/>
          <w:sz w:val="24"/>
          <w:szCs w:val="24"/>
        </w:rPr>
      </w:pPr>
      <w:r w:rsidRPr="00BA20E6">
        <w:rPr>
          <w:rFonts w:ascii="標楷體" w:hAnsi="標楷體" w:hint="eastAsia"/>
          <w:sz w:val="24"/>
          <w:szCs w:val="24"/>
        </w:rPr>
        <w:t>B.</w:t>
      </w:r>
      <w:r w:rsidR="000B510B" w:rsidRPr="00BA20E6">
        <w:rPr>
          <w:rFonts w:ascii="標楷體" w:hAnsi="標楷體" w:hint="eastAsia"/>
          <w:sz w:val="24"/>
          <w:szCs w:val="24"/>
        </w:rPr>
        <w:t xml:space="preserve">　</w:t>
      </w:r>
      <w:r w:rsidRPr="00BA20E6">
        <w:rPr>
          <w:rFonts w:ascii="標楷體" w:hAnsi="標楷體" w:hint="eastAsia"/>
          <w:sz w:val="24"/>
          <w:szCs w:val="24"/>
        </w:rPr>
        <w:t>受</w:t>
      </w:r>
      <w:proofErr w:type="gramStart"/>
      <w:r w:rsidRPr="00BA20E6">
        <w:rPr>
          <w:rFonts w:ascii="標楷體" w:hAnsi="標楷體" w:hint="eastAsia"/>
          <w:sz w:val="24"/>
          <w:szCs w:val="24"/>
        </w:rPr>
        <w:t>新型冠</w:t>
      </w:r>
      <w:proofErr w:type="gramEnd"/>
      <w:r w:rsidRPr="00BA20E6">
        <w:rPr>
          <w:rFonts w:ascii="標楷體" w:hAnsi="標楷體" w:hint="eastAsia"/>
          <w:sz w:val="24"/>
          <w:szCs w:val="24"/>
        </w:rPr>
        <w:t>狀病毒肺炎</w:t>
      </w:r>
      <w:r w:rsidR="00BB2C92" w:rsidRPr="00BB2C92">
        <w:rPr>
          <w:rFonts w:ascii="標楷體" w:hAnsi="標楷體" w:hint="eastAsia"/>
          <w:sz w:val="24"/>
          <w:szCs w:val="24"/>
        </w:rPr>
        <w:t>（COVID－19）</w:t>
      </w:r>
      <w:proofErr w:type="gramStart"/>
      <w:r w:rsidRPr="00BA20E6">
        <w:rPr>
          <w:rFonts w:ascii="標楷體" w:hAnsi="標楷體" w:hint="eastAsia"/>
          <w:sz w:val="24"/>
          <w:szCs w:val="24"/>
        </w:rPr>
        <w:t>疫</w:t>
      </w:r>
      <w:proofErr w:type="gramEnd"/>
      <w:r w:rsidRPr="00BA20E6">
        <w:rPr>
          <w:rFonts w:ascii="標楷體" w:hAnsi="標楷體" w:hint="eastAsia"/>
          <w:sz w:val="24"/>
          <w:szCs w:val="24"/>
        </w:rPr>
        <w:t>情影響，民眾自我防護意識提高，降低對醫療之需求，允宜</w:t>
      </w:r>
      <w:proofErr w:type="gramStart"/>
      <w:r w:rsidRPr="00BA20E6">
        <w:rPr>
          <w:rFonts w:ascii="標楷體" w:hAnsi="標楷體" w:hint="eastAsia"/>
          <w:sz w:val="24"/>
          <w:szCs w:val="24"/>
        </w:rPr>
        <w:t>研</w:t>
      </w:r>
      <w:proofErr w:type="gramEnd"/>
      <w:r w:rsidRPr="00BA20E6">
        <w:rPr>
          <w:rFonts w:ascii="標楷體" w:hAnsi="標楷體" w:hint="eastAsia"/>
          <w:sz w:val="24"/>
          <w:szCs w:val="24"/>
        </w:rPr>
        <w:t>謀調整前端預防保健資源配置，降低非必要之醫療費用支出：</w:t>
      </w:r>
      <w:r w:rsidR="00272536" w:rsidRPr="00BA20E6">
        <w:rPr>
          <w:rFonts w:ascii="標楷體" w:hAnsi="標楷體" w:hint="eastAsia"/>
          <w:b w:val="0"/>
          <w:sz w:val="24"/>
          <w:szCs w:val="24"/>
        </w:rPr>
        <w:t>健保署為促使醫療資源合理分配，減少不必要之醫療行為，歷年來藉由推動分級醫療與落實雙向轉診，並建置健保醫療資訊雲端查詢系統，強化重複用藥管理，階段性納入20大類重要檢驗（查）項目等管理措施，以減少不必要之藥品及檢驗（查）資源耗用，提升醫療資源配置效益。惟據健保署統計，醫療費用支出由105年之6,618億點增加至109年之7,802億點，其中藥費支出由105年之1,703億點增加至109年之2,173億點，其平均增加幅度仍達4％至6％，顯示在就醫自由環境之下，現行分級醫療政策及相關節流措施對醫療支出減省幅度仍屬有限。</w:t>
      </w:r>
      <w:r w:rsidR="00F04154" w:rsidRPr="00BA20E6">
        <w:rPr>
          <w:rFonts w:ascii="標楷體" w:hAnsi="標楷體" w:hint="eastAsia"/>
          <w:b w:val="0"/>
          <w:sz w:val="24"/>
          <w:szCs w:val="24"/>
        </w:rPr>
        <w:t>經查自109</w:t>
      </w:r>
      <w:r w:rsidR="00F04154" w:rsidRPr="00BA20E6">
        <w:rPr>
          <w:rFonts w:ascii="標楷體" w:hAnsi="標楷體" w:hint="eastAsia"/>
          <w:b w:val="0"/>
          <w:sz w:val="24"/>
          <w:szCs w:val="24"/>
        </w:rPr>
        <w:lastRenderedPageBreak/>
        <w:t>年全球</w:t>
      </w:r>
      <w:proofErr w:type="gramStart"/>
      <w:r w:rsidR="00F04154" w:rsidRPr="00BA20E6">
        <w:rPr>
          <w:rFonts w:ascii="標楷體" w:hAnsi="標楷體" w:hint="eastAsia"/>
          <w:b w:val="0"/>
          <w:sz w:val="24"/>
          <w:szCs w:val="24"/>
        </w:rPr>
        <w:t>新型冠</w:t>
      </w:r>
      <w:proofErr w:type="gramEnd"/>
      <w:r w:rsidR="00F04154" w:rsidRPr="00BA20E6">
        <w:rPr>
          <w:rFonts w:ascii="標楷體" w:hAnsi="標楷體" w:hint="eastAsia"/>
          <w:b w:val="0"/>
          <w:sz w:val="24"/>
          <w:szCs w:val="24"/>
        </w:rPr>
        <w:t>狀病毒肺炎</w:t>
      </w:r>
      <w:r w:rsidR="00D051A0" w:rsidRPr="00BA20E6">
        <w:rPr>
          <w:rFonts w:ascii="標楷體" w:hAnsi="標楷體" w:hint="eastAsia"/>
          <w:b w:val="0"/>
          <w:sz w:val="24"/>
          <w:szCs w:val="24"/>
        </w:rPr>
        <w:t>（COVID－19）</w:t>
      </w:r>
      <w:proofErr w:type="gramStart"/>
      <w:r w:rsidR="00F04154" w:rsidRPr="00BA20E6">
        <w:rPr>
          <w:rFonts w:ascii="標楷體" w:hAnsi="標楷體" w:hint="eastAsia"/>
          <w:b w:val="0"/>
          <w:sz w:val="24"/>
          <w:szCs w:val="24"/>
        </w:rPr>
        <w:t>疫情大</w:t>
      </w:r>
      <w:proofErr w:type="gramEnd"/>
      <w:r w:rsidR="00F04154" w:rsidRPr="00BA20E6">
        <w:rPr>
          <w:rFonts w:ascii="標楷體" w:hAnsi="標楷體" w:hint="eastAsia"/>
          <w:b w:val="0"/>
          <w:sz w:val="24"/>
          <w:szCs w:val="24"/>
        </w:rPr>
        <w:t>流行，政府推動防疫新生活運動，宣導國人養成勤洗手、呼吸道衛生與咳嗽禮節等個人衛生防護，及佩戴口罩等防疫措施，並建議減少赴醫院頻率，以降低病毒傳染風險。據健保署統計，109年全國門住診就醫人次約3.43億人次，較前一年就醫人次3.71億人次，減少2,750萬人次，就醫人次明顯下降，總體醫療費用成長率降至0.91％，較以往4％至5％之成長為低；又經進一步分析歷來健保醫療費用前20大疾病中，具傳染性之流行疾病如急性上呼吸道感染、流行性感冒、肺炎、腸病毒及腸道感染（性）疾病等之民眾就醫情形，</w:t>
      </w:r>
      <w:proofErr w:type="gramStart"/>
      <w:r w:rsidR="00F04154" w:rsidRPr="00BA20E6">
        <w:rPr>
          <w:rFonts w:ascii="標楷體" w:hAnsi="標楷體" w:hint="eastAsia"/>
          <w:b w:val="0"/>
          <w:sz w:val="24"/>
          <w:szCs w:val="24"/>
        </w:rPr>
        <w:t>除腸道</w:t>
      </w:r>
      <w:proofErr w:type="gramEnd"/>
      <w:r w:rsidR="00F04154" w:rsidRPr="00BA20E6">
        <w:rPr>
          <w:rFonts w:ascii="標楷體" w:hAnsi="標楷體" w:hint="eastAsia"/>
          <w:b w:val="0"/>
          <w:sz w:val="24"/>
          <w:szCs w:val="24"/>
        </w:rPr>
        <w:t>感染（性）疾病外，其餘疾病之109年就醫人次及醫療費用較108年皆</w:t>
      </w:r>
      <w:r w:rsidR="00F04154" w:rsidRPr="00BA3C4D">
        <w:rPr>
          <w:rFonts w:ascii="標楷體" w:hAnsi="標楷體" w:hint="eastAsia"/>
          <w:b w:val="0"/>
          <w:spacing w:val="-2"/>
          <w:sz w:val="24"/>
          <w:szCs w:val="24"/>
        </w:rPr>
        <w:t>呈現顯著下降，顯示因民眾自主健康防護意識提高，養成良好個人衛生習慣，確可有效降低疾病發生率。另經分析108至109年各層級</w:t>
      </w:r>
      <w:proofErr w:type="gramStart"/>
      <w:r w:rsidR="00F04154" w:rsidRPr="00BA3C4D">
        <w:rPr>
          <w:rFonts w:ascii="標楷體" w:hAnsi="標楷體" w:hint="eastAsia"/>
          <w:b w:val="0"/>
          <w:spacing w:val="-2"/>
          <w:sz w:val="24"/>
          <w:szCs w:val="24"/>
        </w:rPr>
        <w:t>醫</w:t>
      </w:r>
      <w:proofErr w:type="gramEnd"/>
      <w:r w:rsidR="00F04154" w:rsidRPr="00BA3C4D">
        <w:rPr>
          <w:rFonts w:ascii="標楷體" w:hAnsi="標楷體" w:hint="eastAsia"/>
          <w:b w:val="0"/>
          <w:spacing w:val="-2"/>
          <w:sz w:val="24"/>
          <w:szCs w:val="24"/>
        </w:rPr>
        <w:t>事服務機構各科別門診就醫情形統計，109年門診就醫件數與108年相比減少2,524萬餘件，降幅約8.6</w:t>
      </w:r>
      <w:r w:rsidR="002F2B80" w:rsidRPr="00BA3C4D">
        <w:rPr>
          <w:rFonts w:ascii="標楷體" w:hAnsi="標楷體" w:hint="eastAsia"/>
          <w:b w:val="0"/>
          <w:spacing w:val="-2"/>
          <w:sz w:val="24"/>
          <w:szCs w:val="24"/>
        </w:rPr>
        <w:t>3</w:t>
      </w:r>
      <w:r w:rsidR="00F04154" w:rsidRPr="00BA3C4D">
        <w:rPr>
          <w:rFonts w:ascii="標楷體" w:hAnsi="標楷體" w:hint="eastAsia"/>
          <w:b w:val="0"/>
          <w:spacing w:val="-2"/>
          <w:sz w:val="24"/>
          <w:szCs w:val="24"/>
        </w:rPr>
        <w:t>％，其中又以西醫基層診所減少2,192萬餘件，降幅達11.51％最高</w:t>
      </w:r>
      <w:r w:rsidR="00462B5C" w:rsidRPr="00BA3C4D">
        <w:rPr>
          <w:rFonts w:ascii="標楷體" w:hAnsi="標楷體" w:hint="eastAsia"/>
          <w:b w:val="0"/>
          <w:spacing w:val="-2"/>
          <w:sz w:val="24"/>
          <w:szCs w:val="24"/>
        </w:rPr>
        <w:t>（表2）</w:t>
      </w:r>
      <w:r w:rsidR="00F04154" w:rsidRPr="00BA3C4D">
        <w:rPr>
          <w:rFonts w:ascii="標楷體" w:hAnsi="標楷體" w:hint="eastAsia"/>
          <w:b w:val="0"/>
          <w:spacing w:val="-2"/>
          <w:sz w:val="24"/>
          <w:szCs w:val="24"/>
        </w:rPr>
        <w:t>；各科別中則以小兒科就醫件數減少最多，除醫學中心減少13.77％外，區域醫院、地區醫院及西醫基層診所之減少幅度皆達20％以上，除小兒科外，各層級院所亦有專科門診之就醫件數減幅達10％以上者，顯示受</w:t>
      </w:r>
      <w:proofErr w:type="gramStart"/>
      <w:r w:rsidR="00F04154" w:rsidRPr="00BA3C4D">
        <w:rPr>
          <w:rFonts w:ascii="標楷體" w:hAnsi="標楷體" w:hint="eastAsia"/>
          <w:b w:val="0"/>
          <w:spacing w:val="-2"/>
          <w:sz w:val="24"/>
          <w:szCs w:val="24"/>
        </w:rPr>
        <w:t>疫</w:t>
      </w:r>
      <w:proofErr w:type="gramEnd"/>
      <w:r w:rsidR="00F04154" w:rsidRPr="00BA3C4D">
        <w:rPr>
          <w:rFonts w:ascii="標楷體" w:hAnsi="標楷體" w:hint="eastAsia"/>
          <w:b w:val="0"/>
          <w:spacing w:val="-2"/>
          <w:sz w:val="24"/>
          <w:szCs w:val="24"/>
        </w:rPr>
        <w:t>情影響，國人為避免感染風險主動減少不必要或非急迫之就醫，在現行論量計酬之醫療給付體制之下，國人醫療需求或存有部分非急迫之醫療行為，仍有進一步節制之空間，應強化國人疾病預防觀念，於前端預防保健</w:t>
      </w:r>
      <w:proofErr w:type="gramStart"/>
      <w:r w:rsidR="00F04154" w:rsidRPr="00BA3C4D">
        <w:rPr>
          <w:rFonts w:ascii="標楷體" w:hAnsi="標楷體" w:hint="eastAsia"/>
          <w:b w:val="0"/>
          <w:spacing w:val="-2"/>
          <w:sz w:val="24"/>
          <w:szCs w:val="24"/>
        </w:rPr>
        <w:t>投注適足</w:t>
      </w:r>
      <w:proofErr w:type="gramEnd"/>
      <w:r w:rsidR="00F04154" w:rsidRPr="00BA3C4D">
        <w:rPr>
          <w:rFonts w:ascii="標楷體" w:hAnsi="標楷體" w:hint="eastAsia"/>
          <w:b w:val="0"/>
          <w:spacing w:val="-2"/>
          <w:sz w:val="24"/>
          <w:szCs w:val="24"/>
        </w:rPr>
        <w:t>資源，</w:t>
      </w:r>
      <w:r w:rsidR="001746E5" w:rsidRPr="00BA3C4D">
        <w:rPr>
          <w:rFonts w:ascii="標楷體" w:hAnsi="標楷體"/>
          <w:b w:val="0"/>
          <w:noProof/>
          <w:spacing w:val="-2"/>
          <w:sz w:val="24"/>
          <w:szCs w:val="24"/>
        </w:rPr>
        <mc:AlternateContent>
          <mc:Choice Requires="wps">
            <w:drawing>
              <wp:anchor distT="0" distB="0" distL="114300" distR="114300" simplePos="0" relativeHeight="251659264" behindDoc="0" locked="0" layoutInCell="1" allowOverlap="1" wp14:anchorId="1FE28BEF" wp14:editId="511F05EC">
                <wp:simplePos x="0" y="0"/>
                <wp:positionH relativeFrom="column">
                  <wp:posOffset>3026410</wp:posOffset>
                </wp:positionH>
                <wp:positionV relativeFrom="paragraph">
                  <wp:posOffset>4648200</wp:posOffset>
                </wp:positionV>
                <wp:extent cx="3337560" cy="343090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7560" cy="3430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804" w:rsidRPr="002F2B80" w:rsidRDefault="00935804" w:rsidP="002F2B80">
                            <w:pPr>
                              <w:jc w:val="center"/>
                              <w:rPr>
                                <w:rFonts w:ascii="標楷體" w:eastAsia="標楷體" w:hAnsi="標楷體"/>
                                <w:b/>
                              </w:rPr>
                            </w:pPr>
                            <w:r w:rsidRPr="002F2B80">
                              <w:rPr>
                                <w:rFonts w:ascii="標楷體" w:eastAsia="標楷體" w:hAnsi="標楷體"/>
                                <w:b/>
                              </w:rPr>
                              <w:t>表</w:t>
                            </w:r>
                            <w:r>
                              <w:rPr>
                                <w:rFonts w:ascii="標楷體" w:eastAsia="標楷體" w:hAnsi="標楷體" w:hint="eastAsia"/>
                                <w:b/>
                              </w:rPr>
                              <w:t>2</w:t>
                            </w:r>
                            <w:r>
                              <w:rPr>
                                <w:rFonts w:ascii="標楷體" w:eastAsia="標楷體" w:hAnsi="標楷體" w:hint="eastAsia"/>
                                <w:b/>
                                <w:szCs w:val="28"/>
                              </w:rPr>
                              <w:t xml:space="preserve">　</w:t>
                            </w:r>
                            <w:r w:rsidRPr="002F2B80">
                              <w:rPr>
                                <w:rFonts w:ascii="標楷體" w:eastAsia="標楷體" w:hAnsi="標楷體" w:hint="eastAsia"/>
                                <w:b/>
                              </w:rPr>
                              <w:t>各層級</w:t>
                            </w:r>
                            <w:proofErr w:type="gramStart"/>
                            <w:r w:rsidRPr="002F2B80">
                              <w:rPr>
                                <w:rFonts w:ascii="標楷體" w:eastAsia="標楷體" w:hAnsi="標楷體" w:hint="eastAsia"/>
                                <w:b/>
                              </w:rPr>
                              <w:t>醫</w:t>
                            </w:r>
                            <w:proofErr w:type="gramEnd"/>
                            <w:r w:rsidRPr="002F2B80">
                              <w:rPr>
                                <w:rFonts w:ascii="標楷體" w:eastAsia="標楷體" w:hAnsi="標楷體" w:hint="eastAsia"/>
                                <w:b/>
                              </w:rPr>
                              <w:t>事服務機構門診就醫情形</w:t>
                            </w:r>
                          </w:p>
                          <w:tbl>
                            <w:tblPr>
                              <w:tblW w:w="4880" w:type="dxa"/>
                              <w:jc w:val="center"/>
                              <w:tblInd w:w="1254" w:type="dxa"/>
                              <w:tblCellMar>
                                <w:left w:w="28" w:type="dxa"/>
                                <w:right w:w="28" w:type="dxa"/>
                              </w:tblCellMar>
                              <w:tblLook w:val="04A0" w:firstRow="1" w:lastRow="0" w:firstColumn="1" w:lastColumn="0" w:noHBand="0" w:noVBand="1"/>
                            </w:tblPr>
                            <w:tblGrid>
                              <w:gridCol w:w="470"/>
                              <w:gridCol w:w="1281"/>
                              <w:gridCol w:w="1258"/>
                              <w:gridCol w:w="1128"/>
                              <w:gridCol w:w="743"/>
                            </w:tblGrid>
                            <w:tr w:rsidR="00935804" w:rsidRPr="002F2B80" w:rsidTr="00BA20E6">
                              <w:trPr>
                                <w:trHeight w:val="113"/>
                                <w:jc w:val="center"/>
                              </w:trPr>
                              <w:tc>
                                <w:tcPr>
                                  <w:tcW w:w="4880" w:type="dxa"/>
                                  <w:gridSpan w:val="5"/>
                                  <w:tcBorders>
                                    <w:top w:val="nil"/>
                                    <w:bottom w:val="single" w:sz="4" w:space="0" w:color="auto"/>
                                  </w:tcBorders>
                                </w:tcPr>
                                <w:p w:rsidR="00935804" w:rsidRPr="00462B5C" w:rsidRDefault="00935804" w:rsidP="002F2B80">
                                  <w:pPr>
                                    <w:widowControl/>
                                    <w:spacing w:line="240" w:lineRule="exact"/>
                                    <w:jc w:val="right"/>
                                    <w:rPr>
                                      <w:rFonts w:ascii="標楷體" w:eastAsia="標楷體" w:hAnsi="標楷體" w:cs="新細明體"/>
                                      <w:color w:val="000000"/>
                                      <w:sz w:val="20"/>
                                      <w:szCs w:val="20"/>
                                    </w:rPr>
                                  </w:pPr>
                                  <w:r w:rsidRPr="00462B5C">
                                    <w:rPr>
                                      <w:rFonts w:ascii="標楷體" w:eastAsia="標楷體" w:hAnsi="標楷體" w:cs="新細明體" w:hint="eastAsia"/>
                                      <w:color w:val="000000"/>
                                      <w:sz w:val="20"/>
                                      <w:szCs w:val="20"/>
                                    </w:rPr>
                                    <w:t>單位：萬件、％</w:t>
                                  </w:r>
                                </w:p>
                              </w:tc>
                            </w:tr>
                            <w:tr w:rsidR="00935804" w:rsidRPr="002F2B80" w:rsidTr="00462B5C">
                              <w:trPr>
                                <w:trHeight w:val="240"/>
                                <w:jc w:val="center"/>
                              </w:trPr>
                              <w:tc>
                                <w:tcPr>
                                  <w:tcW w:w="470" w:type="dxa"/>
                                  <w:vMerge w:val="restart"/>
                                  <w:tcBorders>
                                    <w:top w:val="single" w:sz="4" w:space="0" w:color="auto"/>
                                    <w:left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年</w:t>
                                  </w:r>
                                </w:p>
                              </w:tc>
                              <w:tc>
                                <w:tcPr>
                                  <w:tcW w:w="1281" w:type="dxa"/>
                                  <w:vMerge w:val="restart"/>
                                  <w:tcBorders>
                                    <w:top w:val="single" w:sz="4" w:space="0" w:color="auto"/>
                                    <w:left w:val="nil"/>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層級別</w:t>
                                  </w:r>
                                </w:p>
                              </w:tc>
                              <w:tc>
                                <w:tcPr>
                                  <w:tcW w:w="1258" w:type="dxa"/>
                                  <w:vMerge w:val="restart"/>
                                  <w:tcBorders>
                                    <w:top w:val="single" w:sz="4" w:space="0" w:color="auto"/>
                                    <w:left w:val="nil"/>
                                    <w:right w:val="single" w:sz="4" w:space="0" w:color="auto"/>
                                  </w:tcBorders>
                                  <w:shd w:val="clear" w:color="auto" w:fill="auto"/>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就醫件數</w:t>
                                  </w:r>
                                </w:p>
                              </w:tc>
                              <w:tc>
                                <w:tcPr>
                                  <w:tcW w:w="1871" w:type="dxa"/>
                                  <w:gridSpan w:val="2"/>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較前一年</w:t>
                                  </w:r>
                                  <w:r w:rsidRPr="00AF493D">
                                    <w:rPr>
                                      <w:rFonts w:ascii="標楷體" w:eastAsia="標楷體" w:hAnsi="標楷體" w:cs="新細明體" w:hint="eastAsia"/>
                                      <w:color w:val="000000"/>
                                      <w:sz w:val="20"/>
                                      <w:szCs w:val="20"/>
                                    </w:rPr>
                                    <w:t>增減</w:t>
                                  </w:r>
                                </w:p>
                              </w:tc>
                            </w:tr>
                            <w:tr w:rsidR="00935804" w:rsidRPr="002F2B80" w:rsidTr="00462B5C">
                              <w:trPr>
                                <w:trHeight w:val="225"/>
                                <w:jc w:val="center"/>
                              </w:trPr>
                              <w:tc>
                                <w:tcPr>
                                  <w:tcW w:w="470" w:type="dxa"/>
                                  <w:vMerge/>
                                  <w:tcBorders>
                                    <w:left w:val="single" w:sz="4" w:space="0" w:color="auto"/>
                                    <w:bottom w:val="single" w:sz="4" w:space="0" w:color="auto"/>
                                    <w:right w:val="single" w:sz="4" w:space="0" w:color="auto"/>
                                  </w:tcBorders>
                                  <w:shd w:val="clear" w:color="auto" w:fill="auto"/>
                                  <w:noWrap/>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281" w:type="dxa"/>
                                  <w:vMerge/>
                                  <w:tcBorders>
                                    <w:left w:val="nil"/>
                                    <w:bottom w:val="single" w:sz="4" w:space="0" w:color="auto"/>
                                    <w:right w:val="single" w:sz="4" w:space="0" w:color="auto"/>
                                  </w:tcBorders>
                                  <w:shd w:val="clear" w:color="auto" w:fill="auto"/>
                                  <w:noWrap/>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258" w:type="dxa"/>
                                  <w:vMerge/>
                                  <w:tcBorders>
                                    <w:left w:val="nil"/>
                                    <w:bottom w:val="single" w:sz="4" w:space="0" w:color="auto"/>
                                    <w:right w:val="single" w:sz="4" w:space="0" w:color="auto"/>
                                  </w:tcBorders>
                                  <w:shd w:val="clear" w:color="auto" w:fill="auto"/>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128" w:type="dxa"/>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件數</w:t>
                                  </w:r>
                                </w:p>
                              </w:tc>
                              <w:tc>
                                <w:tcPr>
                                  <w:tcW w:w="743" w:type="dxa"/>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w:t>
                                  </w:r>
                                </w:p>
                              </w:tc>
                            </w:tr>
                            <w:tr w:rsidR="00935804" w:rsidRPr="002F2B80" w:rsidTr="00462B5C">
                              <w:trPr>
                                <w:trHeight w:val="113"/>
                                <w:jc w:val="center"/>
                              </w:trPr>
                              <w:tc>
                                <w:tcPr>
                                  <w:tcW w:w="4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107</w:t>
                                  </w: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nil"/>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28,665.33</w:t>
                                  </w:r>
                                </w:p>
                              </w:tc>
                              <w:tc>
                                <w:tcPr>
                                  <w:tcW w:w="1871" w:type="dxa"/>
                                  <w:gridSpan w:val="2"/>
                                  <w:vMerge w:val="restart"/>
                                  <w:tcBorders>
                                    <w:top w:val="nil"/>
                                    <w:left w:val="single" w:sz="4" w:space="0" w:color="auto"/>
                                    <w:right w:val="single" w:sz="4" w:space="0" w:color="auto"/>
                                    <w:tl2br w:val="single" w:sz="4" w:space="0" w:color="auto"/>
                                  </w:tcBorders>
                                </w:tcPr>
                                <w:p w:rsidR="00935804" w:rsidRPr="00AF493D" w:rsidRDefault="00935804" w:rsidP="001746E5">
                                  <w:pPr>
                                    <w:widowControl/>
                                    <w:spacing w:line="250" w:lineRule="exact"/>
                                    <w:jc w:val="center"/>
                                    <w:rPr>
                                      <w:rFonts w:ascii="標楷體" w:eastAsia="標楷體" w:hAnsi="標楷體"/>
                                      <w:color w:val="000000"/>
                                      <w:sz w:val="20"/>
                                      <w:szCs w:val="20"/>
                                    </w:rPr>
                                  </w:pPr>
                                  <w:r w:rsidRPr="00AF493D">
                                    <w:rPr>
                                      <w:rFonts w:ascii="標楷體" w:eastAsia="標楷體" w:hAnsi="標楷體"/>
                                      <w:color w:val="000000"/>
                                      <w:sz w:val="20"/>
                                      <w:szCs w:val="20"/>
                                    </w:rPr>
                                    <w:t xml:space="preserve">　</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3,025.46</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4,192.50</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2,808.13</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18,639.23</w:t>
                                  </w:r>
                                </w:p>
                              </w:tc>
                              <w:tc>
                                <w:tcPr>
                                  <w:tcW w:w="1871" w:type="dxa"/>
                                  <w:gridSpan w:val="2"/>
                                  <w:vMerge/>
                                  <w:tcBorders>
                                    <w:left w:val="single" w:sz="4" w:space="0" w:color="auto"/>
                                    <w:bottom w:val="single" w:sz="4" w:space="0" w:color="000000"/>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108</w:t>
                                  </w: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29,258.93</w:t>
                                  </w:r>
                                </w:p>
                              </w:tc>
                              <w:tc>
                                <w:tcPr>
                                  <w:tcW w:w="1128" w:type="dxa"/>
                                  <w:tcBorders>
                                    <w:top w:val="single" w:sz="4" w:space="0" w:color="000000"/>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593.60</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b/>
                                      <w:sz w:val="20"/>
                                      <w:szCs w:val="20"/>
                                    </w:rPr>
                                  </w:pPr>
                                  <w:r w:rsidRPr="00AF493D">
                                    <w:rPr>
                                      <w:rFonts w:ascii="標楷體" w:eastAsia="標楷體" w:hAnsi="標楷體"/>
                                      <w:b/>
                                      <w:sz w:val="20"/>
                                      <w:szCs w:val="20"/>
                                    </w:rPr>
                                    <w:t>2.07</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3,015.63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9.83</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0.32</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4,146.66</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45.84</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1.09</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3,054.65</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246.52</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8.78</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19,041.99</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402.76</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2.16</w:t>
                                  </w:r>
                                </w:p>
                              </w:tc>
                            </w:tr>
                            <w:tr w:rsidR="00935804" w:rsidRPr="00BF2FEC" w:rsidTr="00462B5C">
                              <w:trPr>
                                <w:trHeight w:val="113"/>
                                <w:jc w:val="center"/>
                              </w:trPr>
                              <w:tc>
                                <w:tcPr>
                                  <w:tcW w:w="4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109</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26,734.39</w:t>
                                  </w:r>
                                </w:p>
                              </w:tc>
                              <w:tc>
                                <w:tcPr>
                                  <w:tcW w:w="1128" w:type="dxa"/>
                                  <w:tcBorders>
                                    <w:top w:val="single" w:sz="4" w:space="0" w:color="auto"/>
                                    <w:left w:val="nil"/>
                                    <w:bottom w:val="single" w:sz="4" w:space="0" w:color="auto"/>
                                    <w:right w:val="single" w:sz="4" w:space="0" w:color="auto"/>
                                  </w:tcBorders>
                                  <w:vAlign w:val="center"/>
                                </w:tcPr>
                                <w:p w:rsidR="00935804" w:rsidRPr="00BF2FEC" w:rsidRDefault="00935804" w:rsidP="001746E5">
                                  <w:pPr>
                                    <w:widowControl/>
                                    <w:spacing w:line="250" w:lineRule="exact"/>
                                    <w:ind w:rightChars="11" w:right="26"/>
                                    <w:jc w:val="right"/>
                                    <w:rPr>
                                      <w:rFonts w:ascii="標楷體" w:eastAsia="標楷體" w:hAnsi="標楷體"/>
                                      <w:b/>
                                      <w:sz w:val="20"/>
                                      <w:szCs w:val="20"/>
                                    </w:rPr>
                                  </w:pPr>
                                  <w:r w:rsidRPr="00BF2FEC">
                                    <w:rPr>
                                      <w:rFonts w:ascii="標楷體" w:eastAsia="標楷體" w:hAnsi="標楷體"/>
                                      <w:b/>
                                      <w:sz w:val="20"/>
                                      <w:szCs w:val="20"/>
                                    </w:rPr>
                                    <w:t>-</w:t>
                                  </w:r>
                                  <w:r w:rsidRPr="00BF2FEC">
                                    <w:rPr>
                                      <w:rFonts w:ascii="新細明體" w:hAnsi="新細明體"/>
                                      <w:b/>
                                      <w:kern w:val="0"/>
                                      <w:sz w:val="18"/>
                                    </w:rPr>
                                    <w:t xml:space="preserve"> </w:t>
                                  </w:r>
                                  <w:r w:rsidRPr="00BF2FEC">
                                    <w:rPr>
                                      <w:rFonts w:ascii="標楷體" w:eastAsia="標楷體" w:hAnsi="標楷體"/>
                                      <w:b/>
                                      <w:sz w:val="20"/>
                                      <w:szCs w:val="20"/>
                                    </w:rPr>
                                    <w:t>2,524.54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BF2FEC" w:rsidRDefault="00935804" w:rsidP="001746E5">
                                  <w:pPr>
                                    <w:widowControl/>
                                    <w:spacing w:line="250" w:lineRule="exact"/>
                                    <w:jc w:val="right"/>
                                    <w:rPr>
                                      <w:rFonts w:ascii="標楷體" w:eastAsia="標楷體" w:hAnsi="標楷體"/>
                                      <w:b/>
                                      <w:sz w:val="20"/>
                                      <w:szCs w:val="20"/>
                                    </w:rPr>
                                  </w:pPr>
                                  <w:r w:rsidRPr="00BF2FEC">
                                    <w:rPr>
                                      <w:rFonts w:ascii="標楷體" w:eastAsia="標楷體" w:hAnsi="標楷體"/>
                                      <w:b/>
                                      <w:sz w:val="20"/>
                                      <w:szCs w:val="20"/>
                                    </w:rPr>
                                    <w:t>-</w:t>
                                  </w:r>
                                  <w:r w:rsidRPr="00BF2FEC">
                                    <w:rPr>
                                      <w:rFonts w:ascii="新細明體" w:hAnsi="新細明體"/>
                                      <w:b/>
                                      <w:kern w:val="0"/>
                                      <w:sz w:val="18"/>
                                    </w:rPr>
                                    <w:t xml:space="preserve"> </w:t>
                                  </w:r>
                                  <w:r w:rsidRPr="00BF2FEC">
                                    <w:rPr>
                                      <w:rFonts w:ascii="標楷體" w:eastAsia="標楷體" w:hAnsi="標楷體"/>
                                      <w:b/>
                                      <w:sz w:val="20"/>
                                      <w:szCs w:val="20"/>
                                    </w:rPr>
                                    <w:t>8.63</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2,937.17</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78.46</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2.60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3,993.43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153.23</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3.70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2,953.83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100.82</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3.30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16,849.96</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2,192.03</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11.51</w:t>
                                  </w:r>
                                </w:p>
                              </w:tc>
                            </w:tr>
                            <w:tr w:rsidR="00935804" w:rsidRPr="002F2B80" w:rsidTr="00BA20E6">
                              <w:trPr>
                                <w:trHeight w:val="113"/>
                                <w:jc w:val="center"/>
                              </w:trPr>
                              <w:tc>
                                <w:tcPr>
                                  <w:tcW w:w="4880" w:type="dxa"/>
                                  <w:gridSpan w:val="5"/>
                                  <w:tcBorders>
                                    <w:top w:val="single" w:sz="4" w:space="0" w:color="auto"/>
                                    <w:bottom w:val="nil"/>
                                  </w:tcBorders>
                                </w:tcPr>
                                <w:p w:rsidR="00935804" w:rsidRPr="002F2B80" w:rsidRDefault="00935804" w:rsidP="005E6BBB">
                                  <w:pPr>
                                    <w:widowControl/>
                                    <w:spacing w:line="240" w:lineRule="exact"/>
                                    <w:ind w:leftChars="-12" w:left="-29"/>
                                    <w:rPr>
                                      <w:rFonts w:ascii="標楷體" w:eastAsia="標楷體" w:hAnsi="標楷體"/>
                                      <w:color w:val="FF0000"/>
                                    </w:rPr>
                                  </w:pPr>
                                  <w:r w:rsidRPr="002F2B80">
                                    <w:rPr>
                                      <w:rFonts w:ascii="標楷體" w:eastAsia="標楷體" w:hAnsi="標楷體" w:hint="eastAsia"/>
                                      <w:sz w:val="18"/>
                                    </w:rPr>
                                    <w:t>資料來源：整理自健保署提供資料。</w:t>
                                  </w:r>
                                </w:p>
                              </w:tc>
                            </w:tr>
                          </w:tbl>
                          <w:p w:rsidR="00935804" w:rsidRPr="002F2B80" w:rsidRDefault="00935804"/>
                          <w:p w:rsidR="00935804" w:rsidRDefault="009358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8.3pt;margin-top:366pt;width:262.8pt;height:27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" filled="f" stroked="f">
                <v:textbox>
                  <w:txbxContent>
                    <w:p w:rsidR="00935804" w:rsidRPr="002F2B80" w:rsidRDefault="00935804" w:rsidP="002F2B80">
                      <w:pPr>
                        <w:jc w:val="center"/>
                        <w:rPr>
                          <w:rFonts w:ascii="標楷體" w:eastAsia="標楷體" w:hAnsi="標楷體"/>
                          <w:b/>
                        </w:rPr>
                      </w:pPr>
                      <w:r w:rsidRPr="002F2B80">
                        <w:rPr>
                          <w:rFonts w:ascii="標楷體" w:eastAsia="標楷體" w:hAnsi="標楷體"/>
                          <w:b/>
                        </w:rPr>
                        <w:t>表</w:t>
                      </w:r>
                      <w:r>
                        <w:rPr>
                          <w:rFonts w:ascii="標楷體" w:eastAsia="標楷體" w:hAnsi="標楷體" w:hint="eastAsia"/>
                          <w:b/>
                        </w:rPr>
                        <w:t>2</w:t>
                      </w:r>
                      <w:r>
                        <w:rPr>
                          <w:rFonts w:ascii="標楷體" w:eastAsia="標楷體" w:hAnsi="標楷體" w:hint="eastAsia"/>
                          <w:b/>
                          <w:szCs w:val="28"/>
                        </w:rPr>
                        <w:t xml:space="preserve">　</w:t>
                      </w:r>
                      <w:r w:rsidRPr="002F2B80">
                        <w:rPr>
                          <w:rFonts w:ascii="標楷體" w:eastAsia="標楷體" w:hAnsi="標楷體" w:hint="eastAsia"/>
                          <w:b/>
                        </w:rPr>
                        <w:t>各層級</w:t>
                      </w:r>
                      <w:proofErr w:type="gramStart"/>
                      <w:r w:rsidRPr="002F2B80">
                        <w:rPr>
                          <w:rFonts w:ascii="標楷體" w:eastAsia="標楷體" w:hAnsi="標楷體" w:hint="eastAsia"/>
                          <w:b/>
                        </w:rPr>
                        <w:t>醫</w:t>
                      </w:r>
                      <w:proofErr w:type="gramEnd"/>
                      <w:r w:rsidRPr="002F2B80">
                        <w:rPr>
                          <w:rFonts w:ascii="標楷體" w:eastAsia="標楷體" w:hAnsi="標楷體" w:hint="eastAsia"/>
                          <w:b/>
                        </w:rPr>
                        <w:t>事服務機構門診就醫情形</w:t>
                      </w:r>
                    </w:p>
                    <w:tbl>
                      <w:tblPr>
                        <w:tblW w:w="4880" w:type="dxa"/>
                        <w:jc w:val="center"/>
                        <w:tblInd w:w="1254" w:type="dxa"/>
                        <w:tblCellMar>
                          <w:left w:w="28" w:type="dxa"/>
                          <w:right w:w="28" w:type="dxa"/>
                        </w:tblCellMar>
                        <w:tblLook w:val="04A0" w:firstRow="1" w:lastRow="0" w:firstColumn="1" w:lastColumn="0" w:noHBand="0" w:noVBand="1"/>
                      </w:tblPr>
                      <w:tblGrid>
                        <w:gridCol w:w="470"/>
                        <w:gridCol w:w="1281"/>
                        <w:gridCol w:w="1258"/>
                        <w:gridCol w:w="1128"/>
                        <w:gridCol w:w="743"/>
                      </w:tblGrid>
                      <w:tr w:rsidR="00935804" w:rsidRPr="002F2B80" w:rsidTr="00BA20E6">
                        <w:trPr>
                          <w:trHeight w:val="113"/>
                          <w:jc w:val="center"/>
                        </w:trPr>
                        <w:tc>
                          <w:tcPr>
                            <w:tcW w:w="4880" w:type="dxa"/>
                            <w:gridSpan w:val="5"/>
                            <w:tcBorders>
                              <w:top w:val="nil"/>
                              <w:bottom w:val="single" w:sz="4" w:space="0" w:color="auto"/>
                            </w:tcBorders>
                          </w:tcPr>
                          <w:p w:rsidR="00935804" w:rsidRPr="00462B5C" w:rsidRDefault="00935804" w:rsidP="002F2B80">
                            <w:pPr>
                              <w:widowControl/>
                              <w:spacing w:line="240" w:lineRule="exact"/>
                              <w:jc w:val="right"/>
                              <w:rPr>
                                <w:rFonts w:ascii="標楷體" w:eastAsia="標楷體" w:hAnsi="標楷體" w:cs="新細明體"/>
                                <w:color w:val="000000"/>
                                <w:sz w:val="20"/>
                                <w:szCs w:val="20"/>
                              </w:rPr>
                            </w:pPr>
                            <w:r w:rsidRPr="00462B5C">
                              <w:rPr>
                                <w:rFonts w:ascii="標楷體" w:eastAsia="標楷體" w:hAnsi="標楷體" w:cs="新細明體" w:hint="eastAsia"/>
                                <w:color w:val="000000"/>
                                <w:sz w:val="20"/>
                                <w:szCs w:val="20"/>
                              </w:rPr>
                              <w:t>單位：萬件、％</w:t>
                            </w:r>
                          </w:p>
                        </w:tc>
                      </w:tr>
                      <w:tr w:rsidR="00935804" w:rsidRPr="002F2B80" w:rsidTr="00462B5C">
                        <w:trPr>
                          <w:trHeight w:val="240"/>
                          <w:jc w:val="center"/>
                        </w:trPr>
                        <w:tc>
                          <w:tcPr>
                            <w:tcW w:w="470" w:type="dxa"/>
                            <w:vMerge w:val="restart"/>
                            <w:tcBorders>
                              <w:top w:val="single" w:sz="4" w:space="0" w:color="auto"/>
                              <w:left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年</w:t>
                            </w:r>
                          </w:p>
                        </w:tc>
                        <w:tc>
                          <w:tcPr>
                            <w:tcW w:w="1281" w:type="dxa"/>
                            <w:vMerge w:val="restart"/>
                            <w:tcBorders>
                              <w:top w:val="single" w:sz="4" w:space="0" w:color="auto"/>
                              <w:left w:val="nil"/>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層級別</w:t>
                            </w:r>
                          </w:p>
                        </w:tc>
                        <w:tc>
                          <w:tcPr>
                            <w:tcW w:w="1258" w:type="dxa"/>
                            <w:vMerge w:val="restart"/>
                            <w:tcBorders>
                              <w:top w:val="single" w:sz="4" w:space="0" w:color="auto"/>
                              <w:left w:val="nil"/>
                              <w:right w:val="single" w:sz="4" w:space="0" w:color="auto"/>
                            </w:tcBorders>
                            <w:shd w:val="clear" w:color="auto" w:fill="auto"/>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就醫件數</w:t>
                            </w:r>
                          </w:p>
                        </w:tc>
                        <w:tc>
                          <w:tcPr>
                            <w:tcW w:w="1871" w:type="dxa"/>
                            <w:gridSpan w:val="2"/>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Pr>
                                <w:rFonts w:ascii="標楷體" w:eastAsia="標楷體" w:hAnsi="標楷體" w:cs="新細明體" w:hint="eastAsia"/>
                                <w:color w:val="000000"/>
                                <w:sz w:val="20"/>
                                <w:szCs w:val="20"/>
                              </w:rPr>
                              <w:t>較前一年</w:t>
                            </w:r>
                            <w:r w:rsidRPr="00AF493D">
                              <w:rPr>
                                <w:rFonts w:ascii="標楷體" w:eastAsia="標楷體" w:hAnsi="標楷體" w:cs="新細明體" w:hint="eastAsia"/>
                                <w:color w:val="000000"/>
                                <w:sz w:val="20"/>
                                <w:szCs w:val="20"/>
                              </w:rPr>
                              <w:t>增減</w:t>
                            </w:r>
                          </w:p>
                        </w:tc>
                      </w:tr>
                      <w:tr w:rsidR="00935804" w:rsidRPr="002F2B80" w:rsidTr="00462B5C">
                        <w:trPr>
                          <w:trHeight w:val="225"/>
                          <w:jc w:val="center"/>
                        </w:trPr>
                        <w:tc>
                          <w:tcPr>
                            <w:tcW w:w="470" w:type="dxa"/>
                            <w:vMerge/>
                            <w:tcBorders>
                              <w:left w:val="single" w:sz="4" w:space="0" w:color="auto"/>
                              <w:bottom w:val="single" w:sz="4" w:space="0" w:color="auto"/>
                              <w:right w:val="single" w:sz="4" w:space="0" w:color="auto"/>
                            </w:tcBorders>
                            <w:shd w:val="clear" w:color="auto" w:fill="auto"/>
                            <w:noWrap/>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281" w:type="dxa"/>
                            <w:vMerge/>
                            <w:tcBorders>
                              <w:left w:val="nil"/>
                              <w:bottom w:val="single" w:sz="4" w:space="0" w:color="auto"/>
                              <w:right w:val="single" w:sz="4" w:space="0" w:color="auto"/>
                            </w:tcBorders>
                            <w:shd w:val="clear" w:color="auto" w:fill="auto"/>
                            <w:noWrap/>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258" w:type="dxa"/>
                            <w:vMerge/>
                            <w:tcBorders>
                              <w:left w:val="nil"/>
                              <w:bottom w:val="single" w:sz="4" w:space="0" w:color="auto"/>
                              <w:right w:val="single" w:sz="4" w:space="0" w:color="auto"/>
                            </w:tcBorders>
                            <w:shd w:val="clear" w:color="auto" w:fill="auto"/>
                            <w:vAlign w:val="center"/>
                          </w:tcPr>
                          <w:p w:rsidR="00935804" w:rsidRPr="00AF493D" w:rsidRDefault="00935804" w:rsidP="001746E5">
                            <w:pPr>
                              <w:widowControl/>
                              <w:spacing w:line="250" w:lineRule="exact"/>
                              <w:jc w:val="center"/>
                              <w:rPr>
                                <w:rFonts w:ascii="標楷體" w:eastAsia="標楷體" w:hAnsi="標楷體" w:cs="新細明體"/>
                                <w:color w:val="000000"/>
                                <w:sz w:val="20"/>
                                <w:szCs w:val="20"/>
                              </w:rPr>
                            </w:pPr>
                          </w:p>
                        </w:tc>
                        <w:tc>
                          <w:tcPr>
                            <w:tcW w:w="1128" w:type="dxa"/>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件數</w:t>
                            </w:r>
                          </w:p>
                        </w:tc>
                        <w:tc>
                          <w:tcPr>
                            <w:tcW w:w="743" w:type="dxa"/>
                            <w:tcBorders>
                              <w:top w:val="single" w:sz="4" w:space="0" w:color="auto"/>
                              <w:left w:val="nil"/>
                              <w:bottom w:val="single" w:sz="4" w:space="0" w:color="auto"/>
                              <w:right w:val="single" w:sz="4" w:space="0" w:color="auto"/>
                            </w:tcBorders>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w:t>
                            </w:r>
                          </w:p>
                        </w:tc>
                      </w:tr>
                      <w:tr w:rsidR="00935804" w:rsidRPr="002F2B80" w:rsidTr="00462B5C">
                        <w:trPr>
                          <w:trHeight w:val="113"/>
                          <w:jc w:val="center"/>
                        </w:trPr>
                        <w:tc>
                          <w:tcPr>
                            <w:tcW w:w="4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107</w:t>
                            </w: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nil"/>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28,665.33</w:t>
                            </w:r>
                          </w:p>
                        </w:tc>
                        <w:tc>
                          <w:tcPr>
                            <w:tcW w:w="1871" w:type="dxa"/>
                            <w:gridSpan w:val="2"/>
                            <w:vMerge w:val="restart"/>
                            <w:tcBorders>
                              <w:top w:val="nil"/>
                              <w:left w:val="single" w:sz="4" w:space="0" w:color="auto"/>
                              <w:right w:val="single" w:sz="4" w:space="0" w:color="auto"/>
                              <w:tl2br w:val="single" w:sz="4" w:space="0" w:color="auto"/>
                            </w:tcBorders>
                          </w:tcPr>
                          <w:p w:rsidR="00935804" w:rsidRPr="00AF493D" w:rsidRDefault="00935804" w:rsidP="001746E5">
                            <w:pPr>
                              <w:widowControl/>
                              <w:spacing w:line="250" w:lineRule="exact"/>
                              <w:jc w:val="center"/>
                              <w:rPr>
                                <w:rFonts w:ascii="標楷體" w:eastAsia="標楷體" w:hAnsi="標楷體"/>
                                <w:color w:val="000000"/>
                                <w:sz w:val="20"/>
                                <w:szCs w:val="20"/>
                              </w:rPr>
                            </w:pPr>
                            <w:r w:rsidRPr="00AF493D">
                              <w:rPr>
                                <w:rFonts w:ascii="標楷體" w:eastAsia="標楷體" w:hAnsi="標楷體"/>
                                <w:color w:val="000000"/>
                                <w:sz w:val="20"/>
                                <w:szCs w:val="20"/>
                              </w:rPr>
                              <w:t xml:space="preserve">　</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3,025.46</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4,192.50</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2,808.13</w:t>
                            </w:r>
                          </w:p>
                        </w:tc>
                        <w:tc>
                          <w:tcPr>
                            <w:tcW w:w="1871" w:type="dxa"/>
                            <w:gridSpan w:val="2"/>
                            <w:vMerge/>
                            <w:tcBorders>
                              <w:left w:val="single" w:sz="4" w:space="0" w:color="auto"/>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18,639.23</w:t>
                            </w:r>
                          </w:p>
                        </w:tc>
                        <w:tc>
                          <w:tcPr>
                            <w:tcW w:w="1871" w:type="dxa"/>
                            <w:gridSpan w:val="2"/>
                            <w:vMerge/>
                            <w:tcBorders>
                              <w:left w:val="single" w:sz="4" w:space="0" w:color="auto"/>
                              <w:bottom w:val="single" w:sz="4" w:space="0" w:color="000000"/>
                              <w:right w:val="single" w:sz="4" w:space="0" w:color="auto"/>
                              <w:tl2br w:val="single" w:sz="4" w:space="0" w:color="auto"/>
                            </w:tcBorders>
                          </w:tcPr>
                          <w:p w:rsidR="00935804" w:rsidRPr="00AF493D" w:rsidRDefault="00935804" w:rsidP="001746E5">
                            <w:pPr>
                              <w:widowControl/>
                              <w:spacing w:line="250" w:lineRule="exact"/>
                              <w:rPr>
                                <w:rFonts w:ascii="標楷體" w:eastAsia="標楷體" w:hAnsi="標楷體"/>
                                <w:color w:val="000000"/>
                                <w:sz w:val="20"/>
                                <w:szCs w:val="20"/>
                              </w:rPr>
                            </w:pPr>
                          </w:p>
                        </w:tc>
                      </w:tr>
                      <w:tr w:rsidR="00935804" w:rsidRPr="002F2B80" w:rsidTr="00462B5C">
                        <w:trPr>
                          <w:trHeight w:val="113"/>
                          <w:jc w:val="center"/>
                        </w:trPr>
                        <w:tc>
                          <w:tcPr>
                            <w:tcW w:w="4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108</w:t>
                            </w: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29,258.93</w:t>
                            </w:r>
                          </w:p>
                        </w:tc>
                        <w:tc>
                          <w:tcPr>
                            <w:tcW w:w="1128" w:type="dxa"/>
                            <w:tcBorders>
                              <w:top w:val="single" w:sz="4" w:space="0" w:color="000000"/>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593.60</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b/>
                                <w:sz w:val="20"/>
                                <w:szCs w:val="20"/>
                              </w:rPr>
                            </w:pPr>
                            <w:r w:rsidRPr="00AF493D">
                              <w:rPr>
                                <w:rFonts w:ascii="標楷體" w:eastAsia="標楷體" w:hAnsi="標楷體"/>
                                <w:b/>
                                <w:sz w:val="20"/>
                                <w:szCs w:val="20"/>
                              </w:rPr>
                              <w:t>2.07</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3,015.63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9.83</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0.32</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4,146.66</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45.84</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1.09</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nil"/>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3,054.65</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246.52</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8.78</w:t>
                            </w:r>
                          </w:p>
                        </w:tc>
                      </w:tr>
                      <w:tr w:rsidR="00935804" w:rsidRPr="002F2B80" w:rsidTr="00462B5C">
                        <w:trPr>
                          <w:trHeight w:val="113"/>
                          <w:jc w:val="center"/>
                        </w:trPr>
                        <w:tc>
                          <w:tcPr>
                            <w:tcW w:w="470" w:type="dxa"/>
                            <w:vMerge/>
                            <w:tcBorders>
                              <w:top w:val="nil"/>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19,041.99</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402.76</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2.16</w:t>
                            </w:r>
                          </w:p>
                        </w:tc>
                      </w:tr>
                      <w:tr w:rsidR="00935804" w:rsidRPr="00BF2FEC" w:rsidTr="00462B5C">
                        <w:trPr>
                          <w:trHeight w:val="113"/>
                          <w:jc w:val="center"/>
                        </w:trPr>
                        <w:tc>
                          <w:tcPr>
                            <w:tcW w:w="4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109</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b/>
                                <w:color w:val="000000"/>
                                <w:sz w:val="20"/>
                                <w:szCs w:val="20"/>
                              </w:rPr>
                            </w:pPr>
                            <w:r w:rsidRPr="00AF493D">
                              <w:rPr>
                                <w:rFonts w:ascii="標楷體" w:eastAsia="標楷體" w:hAnsi="標楷體" w:cs="新細明體" w:hint="eastAsia"/>
                                <w:b/>
                                <w:color w:val="000000"/>
                                <w:sz w:val="20"/>
                                <w:szCs w:val="20"/>
                              </w:rPr>
                              <w:t>合計</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b/>
                                <w:color w:val="000000"/>
                                <w:sz w:val="20"/>
                                <w:szCs w:val="20"/>
                              </w:rPr>
                            </w:pPr>
                            <w:r w:rsidRPr="00AF493D">
                              <w:rPr>
                                <w:rFonts w:ascii="標楷體" w:eastAsia="標楷體" w:hAnsi="標楷體"/>
                                <w:b/>
                                <w:color w:val="000000"/>
                                <w:sz w:val="20"/>
                                <w:szCs w:val="20"/>
                              </w:rPr>
                              <w:t>26,734.39</w:t>
                            </w:r>
                          </w:p>
                        </w:tc>
                        <w:tc>
                          <w:tcPr>
                            <w:tcW w:w="1128" w:type="dxa"/>
                            <w:tcBorders>
                              <w:top w:val="single" w:sz="4" w:space="0" w:color="auto"/>
                              <w:left w:val="nil"/>
                              <w:bottom w:val="single" w:sz="4" w:space="0" w:color="auto"/>
                              <w:right w:val="single" w:sz="4" w:space="0" w:color="auto"/>
                            </w:tcBorders>
                            <w:vAlign w:val="center"/>
                          </w:tcPr>
                          <w:p w:rsidR="00935804" w:rsidRPr="00BF2FEC" w:rsidRDefault="00935804" w:rsidP="001746E5">
                            <w:pPr>
                              <w:widowControl/>
                              <w:spacing w:line="250" w:lineRule="exact"/>
                              <w:ind w:rightChars="11" w:right="26"/>
                              <w:jc w:val="right"/>
                              <w:rPr>
                                <w:rFonts w:ascii="標楷體" w:eastAsia="標楷體" w:hAnsi="標楷體"/>
                                <w:b/>
                                <w:sz w:val="20"/>
                                <w:szCs w:val="20"/>
                              </w:rPr>
                            </w:pPr>
                            <w:r w:rsidRPr="00BF2FEC">
                              <w:rPr>
                                <w:rFonts w:ascii="標楷體" w:eastAsia="標楷體" w:hAnsi="標楷體"/>
                                <w:b/>
                                <w:sz w:val="20"/>
                                <w:szCs w:val="20"/>
                              </w:rPr>
                              <w:t>-</w:t>
                            </w:r>
                            <w:r w:rsidRPr="00BF2FEC">
                              <w:rPr>
                                <w:rFonts w:ascii="新細明體" w:hAnsi="新細明體"/>
                                <w:b/>
                                <w:kern w:val="0"/>
                                <w:sz w:val="18"/>
                              </w:rPr>
                              <w:t xml:space="preserve"> </w:t>
                            </w:r>
                            <w:r w:rsidRPr="00BF2FEC">
                              <w:rPr>
                                <w:rFonts w:ascii="標楷體" w:eastAsia="標楷體" w:hAnsi="標楷體"/>
                                <w:b/>
                                <w:sz w:val="20"/>
                                <w:szCs w:val="20"/>
                              </w:rPr>
                              <w:t>2,524.54</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BF2FEC" w:rsidRDefault="00935804" w:rsidP="001746E5">
                            <w:pPr>
                              <w:widowControl/>
                              <w:spacing w:line="250" w:lineRule="exact"/>
                              <w:jc w:val="right"/>
                              <w:rPr>
                                <w:rFonts w:ascii="標楷體" w:eastAsia="標楷體" w:hAnsi="標楷體"/>
                                <w:b/>
                                <w:sz w:val="20"/>
                                <w:szCs w:val="20"/>
                              </w:rPr>
                            </w:pPr>
                            <w:r w:rsidRPr="00BF2FEC">
                              <w:rPr>
                                <w:rFonts w:ascii="標楷體" w:eastAsia="標楷體" w:hAnsi="標楷體"/>
                                <w:b/>
                                <w:sz w:val="20"/>
                                <w:szCs w:val="20"/>
                              </w:rPr>
                              <w:t>-</w:t>
                            </w:r>
                            <w:r w:rsidRPr="00BF2FEC">
                              <w:rPr>
                                <w:rFonts w:ascii="新細明體" w:hAnsi="新細明體"/>
                                <w:b/>
                                <w:kern w:val="0"/>
                                <w:sz w:val="18"/>
                              </w:rPr>
                              <w:t xml:space="preserve"> </w:t>
                            </w:r>
                            <w:r w:rsidRPr="00BF2FEC">
                              <w:rPr>
                                <w:rFonts w:ascii="標楷體" w:eastAsia="標楷體" w:hAnsi="標楷體"/>
                                <w:b/>
                                <w:sz w:val="20"/>
                                <w:szCs w:val="20"/>
                              </w:rPr>
                              <w:t>8.63</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醫學中心</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2,937.17</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78.46</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2.60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區域醫院</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3,993.43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153.23</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3.70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地區醫院</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2,953.83</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100.82</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3.30</w:t>
                            </w:r>
                          </w:p>
                        </w:tc>
                      </w:tr>
                      <w:tr w:rsidR="00935804" w:rsidRPr="002F2B80" w:rsidTr="00462B5C">
                        <w:trPr>
                          <w:trHeight w:val="113"/>
                          <w:jc w:val="center"/>
                        </w:trPr>
                        <w:tc>
                          <w:tcPr>
                            <w:tcW w:w="470" w:type="dxa"/>
                            <w:vMerge/>
                            <w:tcBorders>
                              <w:top w:val="single" w:sz="4" w:space="0" w:color="auto"/>
                              <w:left w:val="single" w:sz="4" w:space="0" w:color="auto"/>
                              <w:bottom w:val="single" w:sz="4" w:space="0" w:color="auto"/>
                              <w:right w:val="single" w:sz="4" w:space="0" w:color="auto"/>
                            </w:tcBorders>
                            <w:vAlign w:val="center"/>
                            <w:hideMark/>
                          </w:tcPr>
                          <w:p w:rsidR="00935804" w:rsidRPr="00AF493D" w:rsidRDefault="00935804" w:rsidP="001746E5">
                            <w:pPr>
                              <w:widowControl/>
                              <w:spacing w:line="250" w:lineRule="exact"/>
                              <w:rPr>
                                <w:rFonts w:ascii="標楷體" w:eastAsia="標楷體" w:hAnsi="標楷體" w:cs="新細明體"/>
                                <w:color w:val="000000"/>
                                <w:sz w:val="20"/>
                                <w:szCs w:val="20"/>
                              </w:rPr>
                            </w:pP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935804" w:rsidRPr="00AF493D" w:rsidRDefault="00935804" w:rsidP="001746E5">
                            <w:pPr>
                              <w:widowControl/>
                              <w:spacing w:line="250" w:lineRule="exact"/>
                              <w:jc w:val="center"/>
                              <w:rPr>
                                <w:rFonts w:ascii="標楷體" w:eastAsia="標楷體" w:hAnsi="標楷體" w:cs="新細明體"/>
                                <w:color w:val="000000"/>
                                <w:sz w:val="20"/>
                                <w:szCs w:val="20"/>
                              </w:rPr>
                            </w:pPr>
                            <w:r w:rsidRPr="00AF493D">
                              <w:rPr>
                                <w:rFonts w:ascii="標楷體" w:eastAsia="標楷體" w:hAnsi="標楷體" w:cs="新細明體" w:hint="eastAsia"/>
                                <w:color w:val="000000"/>
                                <w:sz w:val="20"/>
                                <w:szCs w:val="20"/>
                              </w:rPr>
                              <w:t>西醫基層診所</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16,849.96</w:t>
                            </w:r>
                          </w:p>
                        </w:tc>
                        <w:tc>
                          <w:tcPr>
                            <w:tcW w:w="1128" w:type="dxa"/>
                            <w:tcBorders>
                              <w:top w:val="single" w:sz="4" w:space="0" w:color="auto"/>
                              <w:left w:val="nil"/>
                              <w:bottom w:val="single" w:sz="4" w:space="0" w:color="auto"/>
                              <w:right w:val="single" w:sz="4" w:space="0" w:color="auto"/>
                            </w:tcBorders>
                            <w:vAlign w:val="center"/>
                          </w:tcPr>
                          <w:p w:rsidR="00935804" w:rsidRPr="00AF493D" w:rsidRDefault="00935804" w:rsidP="001746E5">
                            <w:pPr>
                              <w:widowControl/>
                              <w:spacing w:line="250" w:lineRule="exact"/>
                              <w:ind w:rightChars="11" w:right="26"/>
                              <w:jc w:val="right"/>
                              <w:rPr>
                                <w:rFonts w:ascii="標楷體" w:eastAsia="標楷體" w:hAnsi="標楷體"/>
                                <w:color w:val="000000"/>
                                <w:sz w:val="20"/>
                                <w:szCs w:val="20"/>
                              </w:rPr>
                            </w:pPr>
                            <w:r w:rsidRPr="00AF493D">
                              <w:rPr>
                                <w:rFonts w:ascii="標楷體" w:eastAsia="標楷體" w:hAnsi="標楷體"/>
                                <w:color w:val="000000"/>
                                <w:sz w:val="20"/>
                                <w:szCs w:val="20"/>
                              </w:rPr>
                              <w:t>-</w:t>
                            </w:r>
                            <w:r w:rsidRPr="00412AFD">
                              <w:rPr>
                                <w:rFonts w:ascii="新細明體" w:hAnsi="新細明體"/>
                                <w:b/>
                                <w:kern w:val="0"/>
                                <w:sz w:val="18"/>
                              </w:rPr>
                              <w:t xml:space="preserve"> </w:t>
                            </w:r>
                            <w:r w:rsidRPr="00AF493D">
                              <w:rPr>
                                <w:rFonts w:ascii="標楷體" w:eastAsia="標楷體" w:hAnsi="標楷體"/>
                                <w:color w:val="000000"/>
                                <w:sz w:val="20"/>
                                <w:szCs w:val="20"/>
                              </w:rPr>
                              <w:t>2,192.03</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804" w:rsidRPr="00AF493D" w:rsidRDefault="00935804" w:rsidP="001746E5">
                            <w:pPr>
                              <w:widowControl/>
                              <w:spacing w:line="250" w:lineRule="exact"/>
                              <w:jc w:val="right"/>
                              <w:rPr>
                                <w:rFonts w:ascii="標楷體" w:eastAsia="標楷體" w:hAnsi="標楷體"/>
                                <w:sz w:val="20"/>
                                <w:szCs w:val="20"/>
                              </w:rPr>
                            </w:pPr>
                            <w:r w:rsidRPr="00AF493D">
                              <w:rPr>
                                <w:rFonts w:ascii="標楷體" w:eastAsia="標楷體" w:hAnsi="標楷體"/>
                                <w:sz w:val="20"/>
                                <w:szCs w:val="20"/>
                              </w:rPr>
                              <w:t>-</w:t>
                            </w:r>
                            <w:r w:rsidRPr="00412AFD">
                              <w:rPr>
                                <w:rFonts w:ascii="新細明體" w:hAnsi="新細明體"/>
                                <w:b/>
                                <w:kern w:val="0"/>
                                <w:sz w:val="18"/>
                              </w:rPr>
                              <w:t xml:space="preserve"> </w:t>
                            </w:r>
                            <w:r w:rsidRPr="00AF493D">
                              <w:rPr>
                                <w:rFonts w:ascii="標楷體" w:eastAsia="標楷體" w:hAnsi="標楷體"/>
                                <w:sz w:val="20"/>
                                <w:szCs w:val="20"/>
                              </w:rPr>
                              <w:t>11.51</w:t>
                            </w:r>
                          </w:p>
                        </w:tc>
                      </w:tr>
                      <w:tr w:rsidR="00935804" w:rsidRPr="002F2B80" w:rsidTr="00BA20E6">
                        <w:trPr>
                          <w:trHeight w:val="113"/>
                          <w:jc w:val="center"/>
                        </w:trPr>
                        <w:tc>
                          <w:tcPr>
                            <w:tcW w:w="4880" w:type="dxa"/>
                            <w:gridSpan w:val="5"/>
                            <w:tcBorders>
                              <w:top w:val="single" w:sz="4" w:space="0" w:color="auto"/>
                              <w:bottom w:val="nil"/>
                            </w:tcBorders>
                          </w:tcPr>
                          <w:p w:rsidR="00935804" w:rsidRPr="002F2B80" w:rsidRDefault="00935804" w:rsidP="005E6BBB">
                            <w:pPr>
                              <w:widowControl/>
                              <w:spacing w:line="240" w:lineRule="exact"/>
                              <w:ind w:leftChars="-12" w:left="-29"/>
                              <w:rPr>
                                <w:rFonts w:ascii="標楷體" w:eastAsia="標楷體" w:hAnsi="標楷體"/>
                                <w:color w:val="FF0000"/>
                              </w:rPr>
                            </w:pPr>
                            <w:r w:rsidRPr="002F2B80">
                              <w:rPr>
                                <w:rFonts w:ascii="標楷體" w:eastAsia="標楷體" w:hAnsi="標楷體" w:hint="eastAsia"/>
                                <w:sz w:val="18"/>
                              </w:rPr>
                              <w:t>資料來源：整理自健保署提供資料。</w:t>
                            </w:r>
                          </w:p>
                        </w:tc>
                      </w:tr>
                    </w:tbl>
                    <w:p w:rsidR="00935804" w:rsidRPr="002F2B80" w:rsidRDefault="00935804"/>
                    <w:p w:rsidR="00935804" w:rsidRDefault="00935804"/>
                  </w:txbxContent>
                </v:textbox>
                <w10:wrap type="square"/>
              </v:shape>
            </w:pict>
          </mc:Fallback>
        </mc:AlternateContent>
      </w:r>
      <w:r w:rsidR="00F04154" w:rsidRPr="00BA3C4D">
        <w:rPr>
          <w:rFonts w:ascii="標楷體" w:hAnsi="標楷體" w:hint="eastAsia"/>
          <w:b w:val="0"/>
          <w:spacing w:val="-2"/>
          <w:sz w:val="24"/>
          <w:szCs w:val="24"/>
        </w:rPr>
        <w:t>藉由提升疾病預防措施減少疾病發生率，由需求端降低對醫療照護之需求。經函</w:t>
      </w:r>
      <w:proofErr w:type="gramStart"/>
      <w:r w:rsidR="00F04154" w:rsidRPr="00BA3C4D">
        <w:rPr>
          <w:rFonts w:ascii="標楷體" w:hAnsi="標楷體" w:hint="eastAsia"/>
          <w:b w:val="0"/>
          <w:spacing w:val="-2"/>
          <w:sz w:val="24"/>
          <w:szCs w:val="24"/>
        </w:rPr>
        <w:t>請衛福部及</w:t>
      </w:r>
      <w:proofErr w:type="gramEnd"/>
      <w:r w:rsidR="00F04154" w:rsidRPr="00BA3C4D">
        <w:rPr>
          <w:rFonts w:ascii="標楷體" w:hAnsi="標楷體" w:hint="eastAsia"/>
          <w:b w:val="0"/>
          <w:spacing w:val="-2"/>
          <w:sz w:val="24"/>
          <w:szCs w:val="24"/>
        </w:rPr>
        <w:t>健保署</w:t>
      </w:r>
      <w:proofErr w:type="gramStart"/>
      <w:r w:rsidR="00F04154" w:rsidRPr="00BA3C4D">
        <w:rPr>
          <w:rFonts w:ascii="標楷體" w:hAnsi="標楷體" w:hint="eastAsia"/>
          <w:b w:val="0"/>
          <w:spacing w:val="-2"/>
          <w:sz w:val="24"/>
          <w:szCs w:val="24"/>
        </w:rPr>
        <w:t>研</w:t>
      </w:r>
      <w:proofErr w:type="gramEnd"/>
      <w:r w:rsidR="00F04154" w:rsidRPr="00BA3C4D">
        <w:rPr>
          <w:rFonts w:ascii="標楷體" w:hAnsi="標楷體" w:hint="eastAsia"/>
          <w:b w:val="0"/>
          <w:spacing w:val="-2"/>
          <w:sz w:val="24"/>
          <w:szCs w:val="24"/>
        </w:rPr>
        <w:t>議調整預防保健與疾病治療資源之配置，以降低非必要之醫療費用支出。</w:t>
      </w:r>
      <w:r w:rsidR="002F0C67" w:rsidRPr="00BA3C4D">
        <w:rPr>
          <w:rFonts w:ascii="標楷體" w:hAnsi="標楷體" w:hint="eastAsia"/>
          <w:b w:val="0"/>
          <w:spacing w:val="-2"/>
          <w:sz w:val="24"/>
          <w:szCs w:val="24"/>
        </w:rPr>
        <w:t>據復：</w:t>
      </w:r>
      <w:r w:rsidR="00E06EF8" w:rsidRPr="00BA3C4D">
        <w:rPr>
          <w:rFonts w:ascii="標楷體" w:hAnsi="標楷體" w:hint="eastAsia"/>
          <w:b w:val="0"/>
          <w:spacing w:val="-2"/>
          <w:sz w:val="24"/>
          <w:szCs w:val="24"/>
        </w:rPr>
        <w:t>業</w:t>
      </w:r>
      <w:proofErr w:type="gramStart"/>
      <w:r w:rsidR="00E06EF8" w:rsidRPr="00BA3C4D">
        <w:rPr>
          <w:rFonts w:ascii="標楷體" w:hAnsi="標楷體" w:hint="eastAsia"/>
          <w:b w:val="0"/>
          <w:spacing w:val="-2"/>
          <w:sz w:val="24"/>
          <w:szCs w:val="24"/>
        </w:rPr>
        <w:t>研</w:t>
      </w:r>
      <w:proofErr w:type="gramEnd"/>
      <w:r w:rsidR="00E06EF8" w:rsidRPr="00BA3C4D">
        <w:rPr>
          <w:rFonts w:ascii="標楷體" w:hAnsi="標楷體" w:hint="eastAsia"/>
          <w:b w:val="0"/>
          <w:spacing w:val="-2"/>
          <w:sz w:val="24"/>
          <w:szCs w:val="24"/>
        </w:rPr>
        <w:t>提全民健保總額中長期改革計畫，其中國民</w:t>
      </w:r>
      <w:proofErr w:type="gramStart"/>
      <w:r w:rsidR="00E06EF8" w:rsidRPr="00BA3C4D">
        <w:rPr>
          <w:rFonts w:ascii="標楷體" w:hAnsi="標楷體" w:hint="eastAsia"/>
          <w:b w:val="0"/>
          <w:spacing w:val="-2"/>
          <w:sz w:val="24"/>
          <w:szCs w:val="24"/>
        </w:rPr>
        <w:t>健康署</w:t>
      </w:r>
      <w:proofErr w:type="gramEnd"/>
      <w:r w:rsidR="00E06EF8" w:rsidRPr="00BA3C4D">
        <w:rPr>
          <w:rFonts w:ascii="標楷體" w:hAnsi="標楷體" w:hint="eastAsia"/>
          <w:b w:val="0"/>
          <w:spacing w:val="-2"/>
          <w:sz w:val="24"/>
          <w:szCs w:val="24"/>
        </w:rPr>
        <w:t>所推動之「國家慢性病整合防治計畫」，即透過公共衛生慢性病防治概念，由危險因子預防，早期發現及介入，並結合健保署之疾病品質支付方案，提升慢性病照護品質，</w:t>
      </w:r>
      <w:proofErr w:type="gramStart"/>
      <w:r w:rsidR="00E06EF8" w:rsidRPr="00BA3C4D">
        <w:rPr>
          <w:rFonts w:ascii="標楷體" w:hAnsi="標楷體" w:hint="eastAsia"/>
          <w:b w:val="0"/>
          <w:spacing w:val="-2"/>
          <w:sz w:val="24"/>
          <w:szCs w:val="24"/>
        </w:rPr>
        <w:t>俾</w:t>
      </w:r>
      <w:proofErr w:type="gramEnd"/>
      <w:r w:rsidR="00966443">
        <w:rPr>
          <w:rFonts w:ascii="標楷體" w:hAnsi="標楷體" w:hint="eastAsia"/>
          <w:b w:val="0"/>
          <w:spacing w:val="-2"/>
          <w:sz w:val="24"/>
          <w:szCs w:val="24"/>
        </w:rPr>
        <w:t>強化</w:t>
      </w:r>
      <w:r w:rsidR="00E06EF8" w:rsidRPr="00BA3C4D">
        <w:rPr>
          <w:rFonts w:ascii="標楷體" w:hAnsi="標楷體" w:hint="eastAsia"/>
          <w:b w:val="0"/>
          <w:spacing w:val="-2"/>
          <w:sz w:val="24"/>
          <w:szCs w:val="24"/>
        </w:rPr>
        <w:t>國人</w:t>
      </w:r>
      <w:proofErr w:type="gramStart"/>
      <w:r w:rsidR="00E06EF8" w:rsidRPr="00BA3C4D">
        <w:rPr>
          <w:rFonts w:ascii="標楷體" w:hAnsi="標楷體" w:hint="eastAsia"/>
          <w:b w:val="0"/>
          <w:spacing w:val="-2"/>
          <w:sz w:val="24"/>
          <w:szCs w:val="24"/>
        </w:rPr>
        <w:t>健康識能</w:t>
      </w:r>
      <w:proofErr w:type="gramEnd"/>
      <w:r w:rsidR="00E06EF8" w:rsidRPr="00BA3C4D">
        <w:rPr>
          <w:rFonts w:ascii="標楷體" w:hAnsi="標楷體" w:hint="eastAsia"/>
          <w:b w:val="0"/>
          <w:spacing w:val="-2"/>
          <w:sz w:val="24"/>
          <w:szCs w:val="24"/>
        </w:rPr>
        <w:t>，預防國人遭受疾病威脅、改善健康，以精省健保醫療支出，有效降低醫療照護負擔。</w:t>
      </w:r>
    </w:p>
    <w:p w:rsidR="00CB1C82" w:rsidRPr="00BA20E6" w:rsidRDefault="00A624F5" w:rsidP="00CD6BA4">
      <w:pPr>
        <w:pStyle w:val="af9"/>
        <w:overflowPunct w:val="0"/>
        <w:spacing w:beforeLines="0" w:before="0" w:afterLines="0" w:after="0" w:line="480" w:lineRule="exact"/>
        <w:ind w:firstLineChars="700" w:firstLine="1682"/>
        <w:rPr>
          <w:rFonts w:ascii="標楷體" w:hAnsi="標楷體"/>
          <w:sz w:val="24"/>
          <w:szCs w:val="24"/>
        </w:rPr>
      </w:pPr>
      <w:r w:rsidRPr="00BA20E6">
        <w:rPr>
          <w:rFonts w:ascii="標楷體" w:hAnsi="標楷體" w:hint="eastAsia"/>
          <w:sz w:val="24"/>
          <w:szCs w:val="24"/>
        </w:rPr>
        <w:t>C.</w:t>
      </w:r>
      <w:r w:rsidR="000B510B" w:rsidRPr="00BA20E6">
        <w:rPr>
          <w:rFonts w:ascii="標楷體" w:hAnsi="標楷體" w:hint="eastAsia"/>
          <w:sz w:val="24"/>
          <w:szCs w:val="24"/>
        </w:rPr>
        <w:t xml:space="preserve">　</w:t>
      </w:r>
      <w:r w:rsidR="00883DEA" w:rsidRPr="00BA20E6">
        <w:rPr>
          <w:rFonts w:ascii="標楷體" w:hAnsi="標楷體" w:hint="eastAsia"/>
          <w:sz w:val="24"/>
          <w:szCs w:val="24"/>
        </w:rPr>
        <w:t>為協助醫師合理用藥，推動提升醫院用藥安全與品質方案，鼓勵醫院配置藥師提供重症加護病房及門診多重用藥慢性病患臨床</w:t>
      </w:r>
      <w:proofErr w:type="gramStart"/>
      <w:r w:rsidR="00883DEA" w:rsidRPr="00BA20E6">
        <w:rPr>
          <w:rFonts w:ascii="標楷體" w:hAnsi="標楷體" w:hint="eastAsia"/>
          <w:sz w:val="24"/>
          <w:szCs w:val="24"/>
        </w:rPr>
        <w:t>藥事照護</w:t>
      </w:r>
      <w:proofErr w:type="gramEnd"/>
      <w:r w:rsidR="00883DEA" w:rsidRPr="00BA20E6">
        <w:rPr>
          <w:rFonts w:ascii="標楷體" w:hAnsi="標楷體" w:hint="eastAsia"/>
          <w:sz w:val="24"/>
          <w:szCs w:val="24"/>
        </w:rPr>
        <w:t>服務，惟</w:t>
      </w:r>
      <w:proofErr w:type="gramStart"/>
      <w:r w:rsidR="00883DEA" w:rsidRPr="00BA20E6">
        <w:rPr>
          <w:rFonts w:ascii="標楷體" w:hAnsi="標楷體" w:hint="eastAsia"/>
          <w:sz w:val="24"/>
          <w:szCs w:val="24"/>
        </w:rPr>
        <w:t>囿</w:t>
      </w:r>
      <w:proofErr w:type="gramEnd"/>
      <w:r w:rsidR="00883DEA" w:rsidRPr="00BA20E6">
        <w:rPr>
          <w:rFonts w:ascii="標楷體" w:hAnsi="標楷體" w:hint="eastAsia"/>
          <w:sz w:val="24"/>
          <w:szCs w:val="24"/>
        </w:rPr>
        <w:t>於方案</w:t>
      </w:r>
      <w:r w:rsidR="00966443">
        <w:rPr>
          <w:rFonts w:ascii="標楷體" w:hAnsi="標楷體" w:hint="eastAsia"/>
          <w:sz w:val="24"/>
          <w:szCs w:val="24"/>
        </w:rPr>
        <w:t>之</w:t>
      </w:r>
      <w:r w:rsidR="00883DEA" w:rsidRPr="00BA20E6">
        <w:rPr>
          <w:rFonts w:ascii="標楷體" w:hAnsi="標楷體" w:hint="eastAsia"/>
          <w:sz w:val="24"/>
          <w:szCs w:val="24"/>
        </w:rPr>
        <w:t>收案條件規</w:t>
      </w:r>
      <w:r w:rsidR="00883DEA" w:rsidRPr="00BA20E6">
        <w:rPr>
          <w:rFonts w:ascii="標楷體" w:hAnsi="標楷體" w:hint="eastAsia"/>
          <w:sz w:val="24"/>
          <w:szCs w:val="24"/>
        </w:rPr>
        <w:lastRenderedPageBreak/>
        <w:t>範及給付不足支應成本，致地區醫院收案數偏低：</w:t>
      </w:r>
      <w:r w:rsidR="00F04154" w:rsidRPr="00BA20E6">
        <w:rPr>
          <w:rFonts w:ascii="標楷體" w:hAnsi="標楷體" w:hint="eastAsia"/>
          <w:b w:val="0"/>
          <w:sz w:val="24"/>
          <w:szCs w:val="24"/>
        </w:rPr>
        <w:t>健保署為提供病患正確服藥觀念，並協助醫師合理用藥，強化民眾用藥安全，間接減少醫療資源浪費，自108年起以健保醫院醫療給付費用總額項下「醫療給付改善方案」專款，推動全民健康保險提升醫院用藥安全與品質方案，係以具加護病房且配置參與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藥師之醫學中心及區域醫院，與具可執行臨床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藥師之地區醫院為參與對象，鼓勵向醫學中心及區域醫院之加護病房病患，與地區醫院門診具多重慢性疾病且用藥品項達5項以上之病患提供臨床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。經查109年參與醫院175家，計有644位藥師符合照護資格，較108年之157家，參與藥師數503人，已有成長，惟地區醫院層級參與方案之比率僅25.00％，與醫學中心及區域醫院參與率84.00％、76.83％相比偏低</w:t>
      </w:r>
      <w:r w:rsidR="00805C28" w:rsidRPr="00BA20E6">
        <w:rPr>
          <w:rFonts w:ascii="標楷體" w:hAnsi="標楷體" w:hint="eastAsia"/>
          <w:b w:val="0"/>
          <w:sz w:val="24"/>
          <w:szCs w:val="24"/>
        </w:rPr>
        <w:t>（表3）</w:t>
      </w:r>
      <w:r w:rsidR="00F04154" w:rsidRPr="00BA20E6">
        <w:rPr>
          <w:rFonts w:ascii="標楷體" w:hAnsi="標楷體" w:hint="eastAsia"/>
          <w:b w:val="0"/>
          <w:sz w:val="24"/>
          <w:szCs w:val="24"/>
        </w:rPr>
        <w:t>；該方案編列預算3,500萬元及1,500萬元分別用於重症加護及門診臨床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，108及</w:t>
      </w:r>
      <w:r w:rsidR="005D000D" w:rsidRPr="00BA20E6">
        <w:rPr>
          <w:rFonts w:ascii="標楷體" w:hAnsi="標楷體"/>
          <w:noProof/>
          <w:sz w:val="24"/>
          <w:szCs w:val="24"/>
        </w:rPr>
        <mc:AlternateContent>
          <mc:Choice Requires="wps">
            <w:drawing>
              <wp:anchor distT="0" distB="0" distL="114300" distR="114300" simplePos="0" relativeHeight="251665408" behindDoc="1" locked="0" layoutInCell="1" allowOverlap="1" wp14:anchorId="7DC3639C" wp14:editId="4BD14C56">
                <wp:simplePos x="0" y="0"/>
                <wp:positionH relativeFrom="column">
                  <wp:posOffset>2464435</wp:posOffset>
                </wp:positionH>
                <wp:positionV relativeFrom="paragraph">
                  <wp:posOffset>2814955</wp:posOffset>
                </wp:positionV>
                <wp:extent cx="3956685" cy="1470025"/>
                <wp:effectExtent l="0" t="0" r="0" b="0"/>
                <wp:wrapTight wrapText="bothSides">
                  <wp:wrapPolygon edited="0">
                    <wp:start x="208" y="0"/>
                    <wp:lineTo x="208" y="21273"/>
                    <wp:lineTo x="21215" y="21273"/>
                    <wp:lineTo x="21215" y="0"/>
                    <wp:lineTo x="208" y="0"/>
                  </wp:wrapPolygon>
                </wp:wrapTight>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685" cy="147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804" w:rsidRPr="00536494" w:rsidRDefault="00935804" w:rsidP="00536494">
                            <w:pPr>
                              <w:ind w:rightChars="52" w:right="125"/>
                              <w:jc w:val="center"/>
                              <w:rPr>
                                <w:rFonts w:ascii="標楷體" w:eastAsia="標楷體" w:hAnsi="標楷體"/>
                                <w:b/>
                                <w:spacing w:val="-22"/>
                              </w:rPr>
                            </w:pPr>
                            <w:r w:rsidRPr="00536494">
                              <w:rPr>
                                <w:rFonts w:ascii="標楷體" w:eastAsia="標楷體" w:hAnsi="標楷體"/>
                                <w:b/>
                                <w:spacing w:val="-22"/>
                              </w:rPr>
                              <w:t>表</w:t>
                            </w:r>
                            <w:r w:rsidRPr="00536494">
                              <w:rPr>
                                <w:rFonts w:ascii="標楷體" w:eastAsia="標楷體" w:hAnsi="標楷體" w:hint="eastAsia"/>
                                <w:b/>
                                <w:spacing w:val="-22"/>
                              </w:rPr>
                              <w:t>3</w:t>
                            </w:r>
                            <w:r w:rsidRPr="00536494">
                              <w:rPr>
                                <w:rFonts w:ascii="標楷體" w:eastAsia="標楷體" w:hAnsi="標楷體" w:hint="eastAsia"/>
                                <w:b/>
                                <w:spacing w:val="-22"/>
                                <w:szCs w:val="28"/>
                              </w:rPr>
                              <w:t xml:space="preserve">　</w:t>
                            </w:r>
                            <w:r w:rsidRPr="00536494">
                              <w:rPr>
                                <w:rFonts w:ascii="標楷體" w:eastAsia="標楷體" w:hAnsi="標楷體" w:hint="eastAsia"/>
                                <w:b/>
                                <w:spacing w:val="-22"/>
                              </w:rPr>
                              <w:t>109年提升醫院用藥安全與品質方案各層級醫院參與率</w:t>
                            </w:r>
                          </w:p>
                          <w:tbl>
                            <w:tblPr>
                              <w:tblW w:w="5670" w:type="dxa"/>
                              <w:tblInd w:w="170" w:type="dxa"/>
                              <w:tblLayout w:type="fixed"/>
                              <w:tblCellMar>
                                <w:left w:w="28" w:type="dxa"/>
                                <w:right w:w="28" w:type="dxa"/>
                              </w:tblCellMar>
                              <w:tblLook w:val="04A0" w:firstRow="1" w:lastRow="0" w:firstColumn="1" w:lastColumn="0" w:noHBand="0" w:noVBand="1"/>
                            </w:tblPr>
                            <w:tblGrid>
                              <w:gridCol w:w="1418"/>
                              <w:gridCol w:w="1701"/>
                              <w:gridCol w:w="1559"/>
                              <w:gridCol w:w="992"/>
                            </w:tblGrid>
                            <w:tr w:rsidR="00935804" w:rsidRPr="00805C28" w:rsidTr="00536494">
                              <w:trPr>
                                <w:trHeight w:val="170"/>
                              </w:trPr>
                              <w:tc>
                                <w:tcPr>
                                  <w:tcW w:w="5670" w:type="dxa"/>
                                  <w:gridSpan w:val="4"/>
                                  <w:tcBorders>
                                    <w:top w:val="nil"/>
                                    <w:bottom w:val="single" w:sz="4" w:space="0" w:color="auto"/>
                                  </w:tcBorders>
                                  <w:shd w:val="clear" w:color="auto" w:fill="auto"/>
                                  <w:noWrap/>
                                  <w:vAlign w:val="center"/>
                                </w:tcPr>
                                <w:p w:rsidR="00935804" w:rsidRPr="00805C28" w:rsidRDefault="00935804" w:rsidP="00536494">
                                  <w:pPr>
                                    <w:widowControl/>
                                    <w:spacing w:line="24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單位：家、％</w:t>
                                  </w:r>
                                </w:p>
                              </w:tc>
                            </w:tr>
                            <w:tr w:rsidR="00935804" w:rsidRPr="00805C28" w:rsidTr="00536494">
                              <w:trPr>
                                <w:trHeight w:val="17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層級別</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健保特約院所數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參與方案醫院數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參與率</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合計</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471</w:t>
                                  </w:r>
                                </w:p>
                              </w:tc>
                              <w:tc>
                                <w:tcPr>
                                  <w:tcW w:w="1559"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37.15</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醫學中心</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25</w:t>
                                  </w:r>
                                </w:p>
                              </w:tc>
                              <w:tc>
                                <w:tcPr>
                                  <w:tcW w:w="1559" w:type="dxa"/>
                                  <w:tcBorders>
                                    <w:top w:val="nil"/>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21</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84.00</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區域醫院</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82</w:t>
                                  </w:r>
                                </w:p>
                              </w:tc>
                              <w:tc>
                                <w:tcPr>
                                  <w:tcW w:w="1559" w:type="dxa"/>
                                  <w:tcBorders>
                                    <w:top w:val="nil"/>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63</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76.83</w:t>
                                  </w:r>
                                </w:p>
                              </w:tc>
                            </w:tr>
                            <w:tr w:rsidR="00935804" w:rsidRPr="00805C28" w:rsidTr="00536494">
                              <w:trPr>
                                <w:trHeight w:val="17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地區醫院</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364</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25.00</w:t>
                                  </w:r>
                                </w:p>
                              </w:tc>
                            </w:tr>
                            <w:tr w:rsidR="00935804" w:rsidRPr="00805C28" w:rsidTr="00536494">
                              <w:trPr>
                                <w:trHeight w:val="57"/>
                              </w:trPr>
                              <w:tc>
                                <w:tcPr>
                                  <w:tcW w:w="5670" w:type="dxa"/>
                                  <w:gridSpan w:val="4"/>
                                  <w:tcBorders>
                                    <w:top w:val="single" w:sz="4" w:space="0" w:color="auto"/>
                                    <w:bottom w:val="nil"/>
                                  </w:tcBorders>
                                  <w:shd w:val="clear" w:color="auto" w:fill="auto"/>
                                  <w:noWrap/>
                                  <w:vAlign w:val="bottom"/>
                                </w:tcPr>
                                <w:p w:rsidR="00935804" w:rsidRPr="00805C28" w:rsidRDefault="00935804" w:rsidP="00536494">
                                  <w:pPr>
                                    <w:widowControl/>
                                    <w:spacing w:line="200" w:lineRule="exact"/>
                                    <w:rPr>
                                      <w:rFonts w:ascii="標楷體" w:eastAsia="標楷體" w:hAnsi="標楷體" w:cs="新細明體"/>
                                      <w:color w:val="000000"/>
                                      <w:sz w:val="20"/>
                                      <w:szCs w:val="20"/>
                                    </w:rPr>
                                  </w:pPr>
                                  <w:r w:rsidRPr="00805C28">
                                    <w:rPr>
                                      <w:rFonts w:ascii="標楷體" w:eastAsia="標楷體" w:hAnsi="標楷體" w:cs="新細明體" w:hint="eastAsia"/>
                                      <w:color w:val="000000"/>
                                      <w:sz w:val="18"/>
                                      <w:szCs w:val="20"/>
                                    </w:rPr>
                                    <w:t>資料來源：整理自健保署提供資料。</w:t>
                                  </w:r>
                                </w:p>
                              </w:tc>
                            </w:tr>
                          </w:tbl>
                          <w:p w:rsidR="00935804" w:rsidRDefault="00935804" w:rsidP="00805C2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94.05pt;margin-top:221.65pt;width:311.55pt;height:11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" filled="f" stroked="f">
                <v:textbox>
                  <w:txbxContent>
                    <w:p w:rsidR="00935804" w:rsidRPr="00536494" w:rsidRDefault="00935804" w:rsidP="00536494">
                      <w:pPr>
                        <w:ind w:rightChars="52" w:right="125"/>
                        <w:jc w:val="center"/>
                        <w:rPr>
                          <w:rFonts w:ascii="標楷體" w:eastAsia="標楷體" w:hAnsi="標楷體"/>
                          <w:b/>
                          <w:spacing w:val="-22"/>
                        </w:rPr>
                      </w:pPr>
                      <w:r w:rsidRPr="00536494">
                        <w:rPr>
                          <w:rFonts w:ascii="標楷體" w:eastAsia="標楷體" w:hAnsi="標楷體"/>
                          <w:b/>
                          <w:spacing w:val="-22"/>
                        </w:rPr>
                        <w:t>表</w:t>
                      </w:r>
                      <w:r w:rsidRPr="00536494">
                        <w:rPr>
                          <w:rFonts w:ascii="標楷體" w:eastAsia="標楷體" w:hAnsi="標楷體" w:hint="eastAsia"/>
                          <w:b/>
                          <w:spacing w:val="-22"/>
                        </w:rPr>
                        <w:t>3</w:t>
                      </w:r>
                      <w:r w:rsidRPr="00536494">
                        <w:rPr>
                          <w:rFonts w:ascii="標楷體" w:eastAsia="標楷體" w:hAnsi="標楷體" w:hint="eastAsia"/>
                          <w:b/>
                          <w:spacing w:val="-22"/>
                          <w:szCs w:val="28"/>
                        </w:rPr>
                        <w:t xml:space="preserve">　</w:t>
                      </w:r>
                      <w:r w:rsidRPr="00536494">
                        <w:rPr>
                          <w:rFonts w:ascii="標楷體" w:eastAsia="標楷體" w:hAnsi="標楷體" w:hint="eastAsia"/>
                          <w:b/>
                          <w:spacing w:val="-22"/>
                        </w:rPr>
                        <w:t>109年提升醫院用藥安全與品質方案各層級醫院參與率</w:t>
                      </w:r>
                    </w:p>
                    <w:tbl>
                      <w:tblPr>
                        <w:tblW w:w="5670" w:type="dxa"/>
                        <w:tblInd w:w="170" w:type="dxa"/>
                        <w:tblLayout w:type="fixed"/>
                        <w:tblCellMar>
                          <w:left w:w="28" w:type="dxa"/>
                          <w:right w:w="28" w:type="dxa"/>
                        </w:tblCellMar>
                        <w:tblLook w:val="04A0" w:firstRow="1" w:lastRow="0" w:firstColumn="1" w:lastColumn="0" w:noHBand="0" w:noVBand="1"/>
                      </w:tblPr>
                      <w:tblGrid>
                        <w:gridCol w:w="1418"/>
                        <w:gridCol w:w="1701"/>
                        <w:gridCol w:w="1559"/>
                        <w:gridCol w:w="992"/>
                      </w:tblGrid>
                      <w:tr w:rsidR="00935804" w:rsidRPr="00805C28" w:rsidTr="00536494">
                        <w:trPr>
                          <w:trHeight w:val="170"/>
                        </w:trPr>
                        <w:tc>
                          <w:tcPr>
                            <w:tcW w:w="5670" w:type="dxa"/>
                            <w:gridSpan w:val="4"/>
                            <w:tcBorders>
                              <w:top w:val="nil"/>
                              <w:bottom w:val="single" w:sz="4" w:space="0" w:color="auto"/>
                            </w:tcBorders>
                            <w:shd w:val="clear" w:color="auto" w:fill="auto"/>
                            <w:noWrap/>
                            <w:vAlign w:val="center"/>
                          </w:tcPr>
                          <w:p w:rsidR="00935804" w:rsidRPr="00805C28" w:rsidRDefault="00935804" w:rsidP="00536494">
                            <w:pPr>
                              <w:widowControl/>
                              <w:spacing w:line="24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單位：家、％</w:t>
                            </w:r>
                          </w:p>
                        </w:tc>
                      </w:tr>
                      <w:tr w:rsidR="00935804" w:rsidRPr="00805C28" w:rsidTr="00536494">
                        <w:trPr>
                          <w:trHeight w:val="17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層級別</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健保特約院所數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參與方案醫院數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參與率</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center"/>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合計</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471</w:t>
                            </w:r>
                          </w:p>
                        </w:tc>
                        <w:tc>
                          <w:tcPr>
                            <w:tcW w:w="1559"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b/>
                                <w:bCs/>
                                <w:color w:val="000000"/>
                                <w:sz w:val="20"/>
                                <w:szCs w:val="20"/>
                              </w:rPr>
                            </w:pPr>
                            <w:r w:rsidRPr="00805C28">
                              <w:rPr>
                                <w:rFonts w:ascii="標楷體" w:eastAsia="標楷體" w:hAnsi="標楷體" w:cs="新細明體" w:hint="eastAsia"/>
                                <w:b/>
                                <w:bCs/>
                                <w:color w:val="000000"/>
                                <w:sz w:val="20"/>
                                <w:szCs w:val="20"/>
                              </w:rPr>
                              <w:t>37.15</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醫學中心</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25</w:t>
                            </w:r>
                          </w:p>
                        </w:tc>
                        <w:tc>
                          <w:tcPr>
                            <w:tcW w:w="1559" w:type="dxa"/>
                            <w:tcBorders>
                              <w:top w:val="nil"/>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21</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84.00</w:t>
                            </w:r>
                          </w:p>
                        </w:tc>
                      </w:tr>
                      <w:tr w:rsidR="00935804" w:rsidRPr="00805C28" w:rsidTr="00536494">
                        <w:trPr>
                          <w:trHeight w:val="170"/>
                        </w:trPr>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區域醫院</w:t>
                            </w:r>
                          </w:p>
                        </w:tc>
                        <w:tc>
                          <w:tcPr>
                            <w:tcW w:w="1701"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82</w:t>
                            </w:r>
                          </w:p>
                        </w:tc>
                        <w:tc>
                          <w:tcPr>
                            <w:tcW w:w="1559" w:type="dxa"/>
                            <w:tcBorders>
                              <w:top w:val="nil"/>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63</w:t>
                            </w:r>
                          </w:p>
                        </w:tc>
                        <w:tc>
                          <w:tcPr>
                            <w:tcW w:w="992" w:type="dxa"/>
                            <w:tcBorders>
                              <w:top w:val="nil"/>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76.83</w:t>
                            </w:r>
                          </w:p>
                        </w:tc>
                      </w:tr>
                      <w:tr w:rsidR="00935804" w:rsidRPr="00805C28" w:rsidTr="00536494">
                        <w:trPr>
                          <w:trHeight w:val="17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center"/>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地區醫院</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364</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35804" w:rsidRPr="00805C28" w:rsidRDefault="00935804" w:rsidP="00536494">
                            <w:pPr>
                              <w:widowControl/>
                              <w:spacing w:line="260" w:lineRule="exact"/>
                              <w:jc w:val="right"/>
                              <w:rPr>
                                <w:rFonts w:ascii="標楷體" w:eastAsia="標楷體" w:hAnsi="標楷體" w:cs="新細明體"/>
                                <w:color w:val="000000"/>
                                <w:sz w:val="20"/>
                                <w:szCs w:val="20"/>
                              </w:rPr>
                            </w:pPr>
                            <w:r w:rsidRPr="00805C28">
                              <w:rPr>
                                <w:rFonts w:ascii="標楷體" w:eastAsia="標楷體" w:hAnsi="標楷體" w:cs="新細明體" w:hint="eastAsia"/>
                                <w:color w:val="000000"/>
                                <w:sz w:val="20"/>
                                <w:szCs w:val="20"/>
                              </w:rPr>
                              <w:t>25.00</w:t>
                            </w:r>
                          </w:p>
                        </w:tc>
                      </w:tr>
                      <w:tr w:rsidR="00935804" w:rsidRPr="00805C28" w:rsidTr="00536494">
                        <w:trPr>
                          <w:trHeight w:val="57"/>
                        </w:trPr>
                        <w:tc>
                          <w:tcPr>
                            <w:tcW w:w="5670" w:type="dxa"/>
                            <w:gridSpan w:val="4"/>
                            <w:tcBorders>
                              <w:top w:val="single" w:sz="4" w:space="0" w:color="auto"/>
                              <w:bottom w:val="nil"/>
                            </w:tcBorders>
                            <w:shd w:val="clear" w:color="auto" w:fill="auto"/>
                            <w:noWrap/>
                            <w:vAlign w:val="bottom"/>
                          </w:tcPr>
                          <w:p w:rsidR="00935804" w:rsidRPr="00805C28" w:rsidRDefault="00935804" w:rsidP="00536494">
                            <w:pPr>
                              <w:widowControl/>
                              <w:spacing w:line="200" w:lineRule="exact"/>
                              <w:rPr>
                                <w:rFonts w:ascii="標楷體" w:eastAsia="標楷體" w:hAnsi="標楷體" w:cs="新細明體"/>
                                <w:color w:val="000000"/>
                                <w:sz w:val="20"/>
                                <w:szCs w:val="20"/>
                              </w:rPr>
                            </w:pPr>
                            <w:r w:rsidRPr="00805C28">
                              <w:rPr>
                                <w:rFonts w:ascii="標楷體" w:eastAsia="標楷體" w:hAnsi="標楷體" w:cs="新細明體" w:hint="eastAsia"/>
                                <w:color w:val="000000"/>
                                <w:sz w:val="18"/>
                                <w:szCs w:val="20"/>
                              </w:rPr>
                              <w:t>資料來源：整理自健保署提供資料。</w:t>
                            </w:r>
                          </w:p>
                        </w:tc>
                      </w:tr>
                    </w:tbl>
                    <w:p w:rsidR="00935804" w:rsidRDefault="00935804" w:rsidP="00805C28"/>
                  </w:txbxContent>
                </v:textbox>
                <w10:wrap type="tight"/>
              </v:shape>
            </w:pict>
          </mc:Fallback>
        </mc:AlternateContent>
      </w:r>
      <w:r w:rsidR="00F04154" w:rsidRPr="00BA20E6">
        <w:rPr>
          <w:rFonts w:ascii="標楷體" w:hAnsi="標楷體" w:hint="eastAsia"/>
          <w:b w:val="0"/>
          <w:sz w:val="24"/>
          <w:szCs w:val="24"/>
        </w:rPr>
        <w:t>109年執行結果，重症加護臨床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費計申報2,761萬餘元、3,887萬餘點，惟地區醫院申報門診臨床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費分別僅26萬餘元、29萬餘點，皆未及當年度門診臨床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費編列預算之2％，又其中108年計有37家地區醫院申報</w:t>
      </w:r>
      <w:r w:rsidR="00F04154" w:rsidRPr="00BA20E6">
        <w:rPr>
          <w:rFonts w:ascii="標楷體" w:hAnsi="標楷體"/>
          <w:b w:val="0"/>
          <w:sz w:val="24"/>
          <w:szCs w:val="24"/>
        </w:rPr>
        <w:t>2,647</w:t>
      </w:r>
      <w:r w:rsidR="00F04154" w:rsidRPr="00BA20E6">
        <w:rPr>
          <w:rFonts w:ascii="標楷體" w:hAnsi="標楷體" w:hint="eastAsia"/>
          <w:b w:val="0"/>
          <w:sz w:val="24"/>
          <w:szCs w:val="24"/>
        </w:rPr>
        <w:t>件門診臨床照護案件，109年計有43家地區醫院申報2,992件案件，分別僅占當年度參與地區醫院家數之45.68％及47.25％，半數以上參與方案之地區醫院皆未申報照護案件，顯示地區醫院藥師申報門診臨床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比率偏低。據該署說明主要係方案所訂門診照護對象資格須符合2種以上慢性病且同一用藥處方開立品項達5項以上者，經發現有不適當處方及用藥情形，始得納入收案，</w:t>
      </w:r>
      <w:proofErr w:type="gramStart"/>
      <w:r w:rsidR="00F04154" w:rsidRPr="00BA20E6">
        <w:rPr>
          <w:rFonts w:ascii="標楷體" w:hAnsi="標楷體" w:hint="eastAsia"/>
          <w:b w:val="0"/>
          <w:sz w:val="24"/>
          <w:szCs w:val="24"/>
        </w:rPr>
        <w:t>致跨科別</w:t>
      </w:r>
      <w:proofErr w:type="gramEnd"/>
      <w:r w:rsidR="00F04154" w:rsidRPr="00BA20E6">
        <w:rPr>
          <w:rFonts w:ascii="標楷體" w:hAnsi="標楷體" w:hint="eastAsia"/>
          <w:b w:val="0"/>
          <w:sz w:val="24"/>
          <w:szCs w:val="24"/>
        </w:rPr>
        <w:t>就診病患因用藥分屬不同處方，</w:t>
      </w:r>
      <w:proofErr w:type="gramStart"/>
      <w:r w:rsidR="00966443" w:rsidRPr="00966443">
        <w:rPr>
          <w:rFonts w:ascii="標楷體" w:hAnsi="標楷體" w:hint="eastAsia"/>
          <w:b w:val="0"/>
          <w:sz w:val="24"/>
          <w:szCs w:val="24"/>
        </w:rPr>
        <w:t>囿</w:t>
      </w:r>
      <w:proofErr w:type="gramEnd"/>
      <w:r w:rsidR="00966443" w:rsidRPr="00966443">
        <w:rPr>
          <w:rFonts w:ascii="標楷體" w:hAnsi="標楷體" w:hint="eastAsia"/>
          <w:b w:val="0"/>
          <w:sz w:val="24"/>
          <w:szCs w:val="24"/>
        </w:rPr>
        <w:t>於未符合該方案所訂之照護對象資格無法收案提供照護</w:t>
      </w:r>
      <w:r w:rsidR="00F04154" w:rsidRPr="00BA20E6">
        <w:rPr>
          <w:rFonts w:ascii="標楷體" w:hAnsi="標楷體" w:hint="eastAsia"/>
          <w:b w:val="0"/>
          <w:sz w:val="24"/>
          <w:szCs w:val="24"/>
        </w:rPr>
        <w:t>，</w:t>
      </w:r>
      <w:r w:rsidR="00966443">
        <w:rPr>
          <w:rFonts w:ascii="標楷體" w:hAnsi="標楷體" w:hint="eastAsia"/>
          <w:b w:val="0"/>
          <w:sz w:val="24"/>
          <w:szCs w:val="24"/>
        </w:rPr>
        <w:t>且</w:t>
      </w:r>
      <w:r w:rsidR="00F04154" w:rsidRPr="00BA20E6">
        <w:rPr>
          <w:rFonts w:ascii="標楷體" w:hAnsi="標楷體" w:hint="eastAsia"/>
          <w:b w:val="0"/>
          <w:sz w:val="24"/>
          <w:szCs w:val="24"/>
        </w:rPr>
        <w:t>門診臨床</w:t>
      </w:r>
      <w:proofErr w:type="gramStart"/>
      <w:r w:rsidR="00F04154" w:rsidRPr="00BA20E6">
        <w:rPr>
          <w:rFonts w:ascii="標楷體" w:hAnsi="標楷體" w:hint="eastAsia"/>
          <w:b w:val="0"/>
          <w:sz w:val="24"/>
          <w:szCs w:val="24"/>
        </w:rPr>
        <w:t>藥事照護</w:t>
      </w:r>
      <w:proofErr w:type="gramEnd"/>
      <w:r w:rsidR="00F04154" w:rsidRPr="00BA20E6">
        <w:rPr>
          <w:rFonts w:ascii="標楷體" w:hAnsi="標楷體" w:hint="eastAsia"/>
          <w:b w:val="0"/>
          <w:sz w:val="24"/>
          <w:szCs w:val="24"/>
        </w:rPr>
        <w:t>費每件僅給付100點，難以支應服務所需人力成本。經函請健保署</w:t>
      </w:r>
      <w:proofErr w:type="gramStart"/>
      <w:r w:rsidR="009E6A83" w:rsidRPr="00BA20E6">
        <w:rPr>
          <w:rFonts w:ascii="標楷體" w:hAnsi="標楷體" w:hint="eastAsia"/>
          <w:b w:val="0"/>
          <w:sz w:val="24"/>
          <w:szCs w:val="24"/>
        </w:rPr>
        <w:t>研</w:t>
      </w:r>
      <w:proofErr w:type="gramEnd"/>
      <w:r w:rsidR="009E6A83" w:rsidRPr="00BA20E6">
        <w:rPr>
          <w:rFonts w:ascii="標楷體" w:hAnsi="標楷體" w:hint="eastAsia"/>
          <w:b w:val="0"/>
          <w:sz w:val="24"/>
          <w:szCs w:val="24"/>
        </w:rPr>
        <w:t>謀調整方案內容，</w:t>
      </w:r>
      <w:proofErr w:type="gramStart"/>
      <w:r w:rsidR="009E6A83" w:rsidRPr="00BA20E6">
        <w:rPr>
          <w:rFonts w:ascii="標楷體" w:hAnsi="標楷體" w:hint="eastAsia"/>
          <w:b w:val="0"/>
          <w:sz w:val="24"/>
          <w:szCs w:val="24"/>
        </w:rPr>
        <w:t>俾</w:t>
      </w:r>
      <w:proofErr w:type="gramEnd"/>
      <w:r w:rsidR="009E6A83" w:rsidRPr="00BA20E6">
        <w:rPr>
          <w:rFonts w:ascii="標楷體" w:hAnsi="標楷體" w:hint="eastAsia"/>
          <w:b w:val="0"/>
          <w:sz w:val="24"/>
          <w:szCs w:val="24"/>
        </w:rPr>
        <w:t>提升地區醫院提供門診多重用藥慢性疾病患者用藥連貫照護服務誘因，以維護民眾用藥安全。</w:t>
      </w:r>
      <w:r w:rsidR="002F0C67" w:rsidRPr="00966443">
        <w:rPr>
          <w:rFonts w:ascii="標楷體" w:hAnsi="標楷體" w:hint="eastAsia"/>
          <w:b w:val="0"/>
          <w:sz w:val="24"/>
          <w:szCs w:val="24"/>
        </w:rPr>
        <w:t>據復：</w:t>
      </w:r>
      <w:r w:rsidR="00966443" w:rsidRPr="00966443">
        <w:rPr>
          <w:rFonts w:ascii="標楷體" w:hAnsi="標楷體" w:hint="eastAsia"/>
          <w:b w:val="0"/>
          <w:sz w:val="24"/>
          <w:szCs w:val="24"/>
        </w:rPr>
        <w:t>已修訂110年方案內容，將地區醫院之門診臨床</w:t>
      </w:r>
      <w:proofErr w:type="gramStart"/>
      <w:r w:rsidR="00966443" w:rsidRPr="00966443">
        <w:rPr>
          <w:rFonts w:ascii="標楷體" w:hAnsi="標楷體" w:hint="eastAsia"/>
          <w:b w:val="0"/>
          <w:sz w:val="24"/>
          <w:szCs w:val="24"/>
        </w:rPr>
        <w:t>藥事照護</w:t>
      </w:r>
      <w:proofErr w:type="gramEnd"/>
      <w:r w:rsidR="00966443" w:rsidRPr="00966443">
        <w:rPr>
          <w:rFonts w:ascii="標楷體" w:hAnsi="標楷體" w:hint="eastAsia"/>
          <w:b w:val="0"/>
          <w:sz w:val="24"/>
          <w:szCs w:val="24"/>
        </w:rPr>
        <w:t>費由每件100點調升為150點，並放寬照護對象收案條件，以期提升地區醫院執行率，鼓勵地區醫院參與。</w:t>
      </w:r>
    </w:p>
    <w:p w:rsidR="00FE781E" w:rsidRPr="00BA20E6" w:rsidRDefault="00FE781E" w:rsidP="00536494">
      <w:pPr>
        <w:pStyle w:val="af9"/>
        <w:overflowPunct w:val="0"/>
        <w:spacing w:beforeLines="0" w:before="0" w:afterLines="0" w:after="0" w:line="500" w:lineRule="exact"/>
        <w:ind w:firstLineChars="450" w:firstLine="1261"/>
        <w:rPr>
          <w:rFonts w:ascii="標楷體" w:hAnsi="標楷體"/>
          <w:bCs w:val="0"/>
          <w:kern w:val="0"/>
        </w:rPr>
      </w:pPr>
      <w:r w:rsidRPr="00BA20E6">
        <w:rPr>
          <w:rFonts w:ascii="標楷體" w:hAnsi="標楷體" w:hint="eastAsia"/>
          <w:bCs w:val="0"/>
          <w:kern w:val="0"/>
        </w:rPr>
        <w:t xml:space="preserve">（3）　</w:t>
      </w:r>
      <w:r w:rsidR="00DC68EA" w:rsidRPr="00BA20E6">
        <w:rPr>
          <w:rFonts w:ascii="標楷體" w:hAnsi="標楷體" w:hint="eastAsia"/>
          <w:bCs w:val="0"/>
          <w:kern w:val="0"/>
        </w:rPr>
        <w:t>辦理全民健保早期療育門診醫療給付改善方案，提供整合醫療照護服務，惟參與院</w:t>
      </w:r>
      <w:proofErr w:type="gramStart"/>
      <w:r w:rsidR="00DC68EA" w:rsidRPr="00BA20E6">
        <w:rPr>
          <w:rFonts w:ascii="標楷體" w:hAnsi="標楷體" w:hint="eastAsia"/>
          <w:bCs w:val="0"/>
          <w:kern w:val="0"/>
        </w:rPr>
        <w:t>所仍少</w:t>
      </w:r>
      <w:proofErr w:type="gramEnd"/>
      <w:r w:rsidR="00DC68EA" w:rsidRPr="00BA20E6">
        <w:rPr>
          <w:rFonts w:ascii="標楷體" w:hAnsi="標楷體" w:hint="eastAsia"/>
          <w:bCs w:val="0"/>
          <w:kern w:val="0"/>
        </w:rPr>
        <w:t>，照護人數仍</w:t>
      </w:r>
      <w:proofErr w:type="gramStart"/>
      <w:r w:rsidR="00DC68EA" w:rsidRPr="00BA20E6">
        <w:rPr>
          <w:rFonts w:ascii="標楷體" w:hAnsi="標楷體" w:hint="eastAsia"/>
          <w:bCs w:val="0"/>
          <w:kern w:val="0"/>
        </w:rPr>
        <w:t>寡</w:t>
      </w:r>
      <w:proofErr w:type="gramEnd"/>
      <w:r w:rsidR="00DC68EA" w:rsidRPr="00BA20E6">
        <w:rPr>
          <w:rFonts w:ascii="標楷體" w:hAnsi="標楷體" w:hint="eastAsia"/>
          <w:bCs w:val="0"/>
          <w:kern w:val="0"/>
        </w:rPr>
        <w:t>及品質指標執行情形仍有大幅提升空間，允宜</w:t>
      </w:r>
      <w:proofErr w:type="gramStart"/>
      <w:r w:rsidR="00DC68EA" w:rsidRPr="00BA20E6">
        <w:rPr>
          <w:rFonts w:ascii="標楷體" w:hAnsi="標楷體" w:hint="eastAsia"/>
          <w:bCs w:val="0"/>
          <w:kern w:val="0"/>
        </w:rPr>
        <w:t>研</w:t>
      </w:r>
      <w:proofErr w:type="gramEnd"/>
      <w:r w:rsidR="00DC68EA" w:rsidRPr="00BA20E6">
        <w:rPr>
          <w:rFonts w:ascii="標楷體" w:hAnsi="標楷體" w:hint="eastAsia"/>
          <w:bCs w:val="0"/>
          <w:kern w:val="0"/>
        </w:rPr>
        <w:t>謀改善，</w:t>
      </w:r>
      <w:proofErr w:type="gramStart"/>
      <w:r w:rsidR="00DC68EA" w:rsidRPr="00BA20E6">
        <w:rPr>
          <w:rFonts w:ascii="標楷體" w:hAnsi="標楷體" w:hint="eastAsia"/>
          <w:bCs w:val="0"/>
          <w:kern w:val="0"/>
        </w:rPr>
        <w:t>俾</w:t>
      </w:r>
      <w:proofErr w:type="gramEnd"/>
      <w:r w:rsidR="00DC68EA" w:rsidRPr="00BA20E6">
        <w:rPr>
          <w:rFonts w:ascii="標楷體" w:hAnsi="標楷體" w:hint="eastAsia"/>
          <w:bCs w:val="0"/>
          <w:kern w:val="0"/>
        </w:rPr>
        <w:t>利個案獲致高品質之整合醫療照護。</w:t>
      </w:r>
    </w:p>
    <w:p w:rsidR="00DC68EA" w:rsidRPr="00BA20E6" w:rsidRDefault="00533228" w:rsidP="00966443">
      <w:pPr>
        <w:tabs>
          <w:tab w:val="left" w:pos="686"/>
          <w:tab w:val="left" w:pos="4395"/>
        </w:tabs>
        <w:overflowPunct w:val="0"/>
        <w:spacing w:line="460" w:lineRule="exact"/>
        <w:ind w:firstLineChars="200" w:firstLine="480"/>
        <w:jc w:val="both"/>
        <w:outlineLvl w:val="0"/>
        <w:rPr>
          <w:rFonts w:ascii="標楷體" w:eastAsia="標楷體" w:hAnsi="標楷體" w:cs="標楷體"/>
        </w:rPr>
      </w:pPr>
      <w:r w:rsidRPr="00533228">
        <w:rPr>
          <w:rFonts w:ascii="標楷體" w:eastAsia="標楷體" w:hAnsi="標楷體" w:cs="標楷體" w:hint="eastAsia"/>
        </w:rPr>
        <w:t>依據聯合國世界衛生組織（WHO）研究統計，兒童發展遲緩之發生率為6％至8％，如能早期診斷發現，於3歲前之黃金</w:t>
      </w:r>
      <w:proofErr w:type="gramStart"/>
      <w:r w:rsidRPr="00533228">
        <w:rPr>
          <w:rFonts w:ascii="標楷體" w:eastAsia="標楷體" w:hAnsi="標楷體" w:cs="標楷體" w:hint="eastAsia"/>
        </w:rPr>
        <w:t>療育期接受</w:t>
      </w:r>
      <w:proofErr w:type="gramEnd"/>
      <w:r w:rsidRPr="00533228">
        <w:rPr>
          <w:rFonts w:ascii="標楷體" w:eastAsia="標楷體" w:hAnsi="標楷體" w:cs="標楷體" w:hint="eastAsia"/>
        </w:rPr>
        <w:t>治療，可改善遲緩程度與減輕障礙狀況，並減少家庭</w:t>
      </w:r>
      <w:r w:rsidRPr="00533228">
        <w:rPr>
          <w:rFonts w:ascii="標楷體" w:eastAsia="標楷體" w:hAnsi="標楷體" w:cs="標楷體" w:hint="eastAsia"/>
        </w:rPr>
        <w:lastRenderedPageBreak/>
        <w:t>之負擔與壓力。早期</w:t>
      </w:r>
      <w:proofErr w:type="gramStart"/>
      <w:r w:rsidRPr="00533228">
        <w:rPr>
          <w:rFonts w:ascii="標楷體" w:eastAsia="標楷體" w:hAnsi="標楷體" w:cs="標楷體" w:hint="eastAsia"/>
        </w:rPr>
        <w:t>療育係透過</w:t>
      </w:r>
      <w:proofErr w:type="gramEnd"/>
      <w:r w:rsidRPr="00533228">
        <w:rPr>
          <w:rFonts w:ascii="標楷體" w:eastAsia="標楷體" w:hAnsi="標楷體" w:cs="標楷體" w:hint="eastAsia"/>
        </w:rPr>
        <w:t>醫療復健、教育、福利服務及家庭支持等專業整合性服務，解決發展遲緩兒童之相關問題，建立連續性之制度化服務，以增強發展遲緩兒童融入正常生活之能力與機會。中央健康</w:t>
      </w:r>
      <w:proofErr w:type="gramStart"/>
      <w:r w:rsidRPr="00533228">
        <w:rPr>
          <w:rFonts w:ascii="標楷體" w:eastAsia="標楷體" w:hAnsi="標楷體" w:cs="標楷體" w:hint="eastAsia"/>
        </w:rPr>
        <w:t>保險署</w:t>
      </w:r>
      <w:proofErr w:type="gramEnd"/>
      <w:r w:rsidRPr="00533228">
        <w:rPr>
          <w:rFonts w:ascii="標楷體" w:eastAsia="標楷體" w:hAnsi="標楷體" w:cs="標楷體" w:hint="eastAsia"/>
        </w:rPr>
        <w:t>（下稱健保署）為避免部分家長因擔憂孩童未獲得</w:t>
      </w:r>
      <w:proofErr w:type="gramStart"/>
      <w:r w:rsidRPr="00533228">
        <w:rPr>
          <w:rFonts w:ascii="標楷體" w:eastAsia="標楷體" w:hAnsi="標楷體" w:cs="標楷體" w:hint="eastAsia"/>
        </w:rPr>
        <w:t>妥適照護</w:t>
      </w:r>
      <w:proofErr w:type="gramEnd"/>
      <w:r w:rsidRPr="00533228">
        <w:rPr>
          <w:rFonts w:ascii="標楷體" w:eastAsia="標楷體" w:hAnsi="標楷體" w:cs="標楷體" w:hint="eastAsia"/>
        </w:rPr>
        <w:t>而四處就醫，</w:t>
      </w:r>
      <w:proofErr w:type="gramStart"/>
      <w:r w:rsidRPr="00533228">
        <w:rPr>
          <w:rFonts w:ascii="標楷體" w:eastAsia="標楷體" w:hAnsi="標楷體" w:cs="標楷體" w:hint="eastAsia"/>
        </w:rPr>
        <w:t>導致患童過度</w:t>
      </w:r>
      <w:proofErr w:type="gramEnd"/>
      <w:r w:rsidRPr="00533228">
        <w:rPr>
          <w:rFonts w:ascii="標楷體" w:eastAsia="標楷體" w:hAnsi="標楷體" w:cs="標楷體" w:hint="eastAsia"/>
        </w:rPr>
        <w:t>治療，自104年10月起辦理全民健康保險早期療育門診醫療給付改善方案，鼓勵參與院所組成早期療育醫療團隊，成員包含復健、精神、小兒神經或兒童心智科等任</w:t>
      </w:r>
      <w:proofErr w:type="gramStart"/>
      <w:r w:rsidRPr="00533228">
        <w:rPr>
          <w:rFonts w:ascii="標楷體" w:eastAsia="標楷體" w:hAnsi="標楷體" w:cs="標楷體" w:hint="eastAsia"/>
        </w:rPr>
        <w:t>一</w:t>
      </w:r>
      <w:proofErr w:type="gramEnd"/>
      <w:r w:rsidRPr="00533228">
        <w:rPr>
          <w:rFonts w:ascii="標楷體" w:eastAsia="標楷體" w:hAnsi="標楷體" w:cs="標楷體" w:hint="eastAsia"/>
        </w:rPr>
        <w:t>專科醫師，及符合提供服務項目之專任專業治療人員及臨床心理或社工師等，提供整合醫療照護服務。截至109年底止，實際參與收案醫療院所數計24家，</w:t>
      </w:r>
      <w:proofErr w:type="gramStart"/>
      <w:r w:rsidRPr="00533228">
        <w:rPr>
          <w:rFonts w:ascii="標楷體" w:eastAsia="標楷體" w:hAnsi="標楷體" w:cs="標楷體" w:hint="eastAsia"/>
        </w:rPr>
        <w:t>收案照護</w:t>
      </w:r>
      <w:proofErr w:type="gramEnd"/>
      <w:r w:rsidRPr="00533228">
        <w:rPr>
          <w:rFonts w:ascii="標楷體" w:eastAsia="標楷體" w:hAnsi="標楷體" w:cs="標楷體" w:hint="eastAsia"/>
        </w:rPr>
        <w:t>人數計1,525人。經查該方案之推動，核有：A.</w:t>
      </w:r>
      <w:proofErr w:type="gramStart"/>
      <w:r w:rsidRPr="00533228">
        <w:rPr>
          <w:rFonts w:ascii="標楷體" w:eastAsia="標楷體" w:hAnsi="標楷體" w:cs="標楷體" w:hint="eastAsia"/>
        </w:rPr>
        <w:t>囿</w:t>
      </w:r>
      <w:proofErr w:type="gramEnd"/>
      <w:r w:rsidRPr="00533228">
        <w:rPr>
          <w:rFonts w:ascii="標楷體" w:eastAsia="標楷體" w:hAnsi="標楷體" w:cs="標楷體" w:hint="eastAsia"/>
        </w:rPr>
        <w:t>於早期療育醫療團隊人員資格要求較高，形成院所參與障礙，且行政作業繁瑣，增加相關人員額外負荷等因素，影響其參與意願，參與</w:t>
      </w:r>
      <w:proofErr w:type="gramStart"/>
      <w:r w:rsidRPr="00533228">
        <w:rPr>
          <w:rFonts w:ascii="標楷體" w:eastAsia="標楷體" w:hAnsi="標楷體" w:cs="標楷體" w:hint="eastAsia"/>
        </w:rPr>
        <w:t>院所較往年</w:t>
      </w:r>
      <w:proofErr w:type="gramEnd"/>
      <w:r w:rsidRPr="00533228">
        <w:rPr>
          <w:rFonts w:ascii="標楷體" w:eastAsia="標楷體" w:hAnsi="標楷體" w:cs="標楷體" w:hint="eastAsia"/>
        </w:rPr>
        <w:t>未有增加，且參與院所多集中於臺北市、桃園市、</w:t>
      </w:r>
      <w:proofErr w:type="gramStart"/>
      <w:r w:rsidRPr="00533228">
        <w:rPr>
          <w:rFonts w:ascii="標楷體" w:eastAsia="標楷體" w:hAnsi="標楷體" w:cs="標楷體" w:hint="eastAsia"/>
        </w:rPr>
        <w:t>臺</w:t>
      </w:r>
      <w:proofErr w:type="gramEnd"/>
      <w:r w:rsidRPr="00533228">
        <w:rPr>
          <w:rFonts w:ascii="標楷體" w:eastAsia="標楷體" w:hAnsi="標楷體" w:cs="標楷體" w:hint="eastAsia"/>
        </w:rPr>
        <w:t>中市、苗栗縣等4市縣，部分縣市轄內</w:t>
      </w:r>
      <w:proofErr w:type="gramStart"/>
      <w:r w:rsidRPr="00533228">
        <w:rPr>
          <w:rFonts w:ascii="標楷體" w:eastAsia="標楷體" w:hAnsi="標楷體" w:cs="標楷體" w:hint="eastAsia"/>
        </w:rPr>
        <w:t>仍乏醫療</w:t>
      </w:r>
      <w:proofErr w:type="gramEnd"/>
      <w:r w:rsidRPr="00533228">
        <w:rPr>
          <w:rFonts w:ascii="標楷體" w:eastAsia="標楷體" w:hAnsi="標楷體" w:cs="標楷體" w:hint="eastAsia"/>
        </w:rPr>
        <w:t>院所參與，恐影響轄內發展遲緩兒童接受治療服務之近便性；B.該方案係以0</w:t>
      </w:r>
      <w:r w:rsidR="00A52D03">
        <w:rPr>
          <w:rFonts w:ascii="標楷體" w:eastAsia="標楷體" w:hAnsi="標楷體" w:cs="標楷體" w:hint="eastAsia"/>
        </w:rPr>
        <w:t>至</w:t>
      </w:r>
      <w:r w:rsidRPr="00533228">
        <w:rPr>
          <w:rFonts w:ascii="標楷體" w:eastAsia="標楷體" w:hAnsi="標楷體" w:cs="標楷體" w:hint="eastAsia"/>
        </w:rPr>
        <w:t>6歲具多</w:t>
      </w:r>
      <w:r w:rsidR="00BF0F19" w:rsidRPr="00BF0F19">
        <w:rPr>
          <w:rFonts w:ascii="標楷體" w:eastAsia="標楷體" w:hAnsi="標楷體" w:cs="標楷體" w:hint="eastAsia"/>
        </w:rPr>
        <w:t>重發展遲緩（2項以上）之兒童為服務標的，收案來源包括當年度經國民</w:t>
      </w:r>
      <w:proofErr w:type="gramStart"/>
      <w:r w:rsidR="00BF0F19" w:rsidRPr="00BF0F19">
        <w:rPr>
          <w:rFonts w:ascii="標楷體" w:eastAsia="標楷體" w:hAnsi="標楷體" w:cs="標楷體" w:hint="eastAsia"/>
        </w:rPr>
        <w:t>健康署</w:t>
      </w:r>
      <w:proofErr w:type="gramEnd"/>
      <w:r w:rsidR="00BF0F19" w:rsidRPr="00BF0F19">
        <w:rPr>
          <w:rFonts w:ascii="標楷體" w:eastAsia="標楷體" w:hAnsi="標楷體" w:cs="標楷體" w:hint="eastAsia"/>
        </w:rPr>
        <w:t>（下稱國健署）委辦之兒童發展聯合評估中心（下稱聯評中心）評估確診之新個案，及健保署依前一年度接受醫療院所早期療育服務，未明顯集中於某特定醫療院所之高診次所產製之舊個案名冊，惟108及</w:t>
      </w:r>
      <w:proofErr w:type="gramStart"/>
      <w:r w:rsidR="00BF0F19" w:rsidRPr="00BF0F19">
        <w:rPr>
          <w:rFonts w:ascii="標楷體" w:eastAsia="標楷體" w:hAnsi="標楷體" w:cs="標楷體" w:hint="eastAsia"/>
        </w:rPr>
        <w:t>109</w:t>
      </w:r>
      <w:proofErr w:type="gramEnd"/>
      <w:r w:rsidR="00BF0F19" w:rsidRPr="00BF0F19">
        <w:rPr>
          <w:rFonts w:ascii="標楷體" w:eastAsia="標楷體" w:hAnsi="標楷體" w:cs="標楷體" w:hint="eastAsia"/>
        </w:rPr>
        <w:t>年度執行結果，仍因舊個案</w:t>
      </w:r>
      <w:proofErr w:type="gramStart"/>
      <w:r w:rsidR="00BF0F19" w:rsidRPr="00BF0F19">
        <w:rPr>
          <w:rFonts w:ascii="標楷體" w:eastAsia="標楷體" w:hAnsi="標楷體" w:cs="標楷體" w:hint="eastAsia"/>
        </w:rPr>
        <w:t>囿</w:t>
      </w:r>
      <w:proofErr w:type="gramEnd"/>
      <w:r w:rsidR="00BF0F19" w:rsidRPr="00BF0F19">
        <w:rPr>
          <w:rFonts w:ascii="標楷體" w:eastAsia="標楷體" w:hAnsi="標楷體" w:cs="標楷體" w:hint="eastAsia"/>
        </w:rPr>
        <w:t>於家長無法配合固定就醫或陪同參與療育等要求，致影響其參與意願，照護人數甚</w:t>
      </w:r>
      <w:proofErr w:type="gramStart"/>
      <w:r w:rsidR="00BF0F19" w:rsidRPr="00BF0F19">
        <w:rPr>
          <w:rFonts w:ascii="標楷體" w:eastAsia="標楷體" w:hAnsi="標楷體" w:cs="標楷體" w:hint="eastAsia"/>
        </w:rPr>
        <w:t>寡</w:t>
      </w:r>
      <w:proofErr w:type="gramEnd"/>
      <w:r w:rsidR="00BF0F19" w:rsidRPr="00BF0F19">
        <w:rPr>
          <w:rFonts w:ascii="標楷體" w:eastAsia="標楷體" w:hAnsi="標楷體" w:cs="標楷體" w:hint="eastAsia"/>
        </w:rPr>
        <w:t>，另新個案因收案條件侷限於</w:t>
      </w:r>
      <w:proofErr w:type="gramStart"/>
      <w:r w:rsidR="00BF0F19" w:rsidRPr="00BF0F19">
        <w:rPr>
          <w:rFonts w:ascii="標楷體" w:eastAsia="標楷體" w:hAnsi="標楷體" w:cs="標楷體" w:hint="eastAsia"/>
        </w:rPr>
        <w:t>國健署委</w:t>
      </w:r>
      <w:proofErr w:type="gramEnd"/>
      <w:r w:rsidR="00BF0F19" w:rsidRPr="00BF0F19">
        <w:rPr>
          <w:rFonts w:ascii="標楷體" w:eastAsia="標楷體" w:hAnsi="標楷體" w:cs="標楷體" w:hint="eastAsia"/>
        </w:rPr>
        <w:t>辦</w:t>
      </w:r>
      <w:proofErr w:type="gramStart"/>
      <w:r w:rsidR="00BF0F19" w:rsidRPr="00BF0F19">
        <w:rPr>
          <w:rFonts w:ascii="標楷體" w:eastAsia="標楷體" w:hAnsi="標楷體" w:cs="標楷體" w:hint="eastAsia"/>
        </w:rPr>
        <w:t>之聯評中心</w:t>
      </w:r>
      <w:proofErr w:type="gramEnd"/>
      <w:r w:rsidR="00BF0F19" w:rsidRPr="00BF0F19">
        <w:rPr>
          <w:rFonts w:ascii="標楷體" w:eastAsia="標楷體" w:hAnsi="標楷體" w:cs="標楷體" w:hint="eastAsia"/>
        </w:rPr>
        <w:t>確診之多重發展遲緩兒童為主，致地方政府指定之評估醫院評估確診兒童</w:t>
      </w:r>
      <w:proofErr w:type="gramStart"/>
      <w:r w:rsidR="00BF0F19" w:rsidRPr="00BF0F19">
        <w:rPr>
          <w:rFonts w:ascii="標楷體" w:eastAsia="標楷體" w:hAnsi="標楷體" w:cs="標楷體" w:hint="eastAsia"/>
        </w:rPr>
        <w:t>無法納列方案</w:t>
      </w:r>
      <w:proofErr w:type="gramEnd"/>
      <w:r w:rsidR="00BF0F19" w:rsidRPr="00BF0F19">
        <w:rPr>
          <w:rFonts w:ascii="標楷體" w:eastAsia="標楷體" w:hAnsi="標楷體" w:cs="標楷體" w:hint="eastAsia"/>
        </w:rPr>
        <w:t>獲致整合性照護資源，</w:t>
      </w:r>
      <w:proofErr w:type="gramStart"/>
      <w:r w:rsidR="00BF0F19" w:rsidRPr="00BF0F19">
        <w:rPr>
          <w:rFonts w:ascii="標楷體" w:eastAsia="標楷體" w:hAnsi="標楷體" w:cs="標楷體" w:hint="eastAsia"/>
        </w:rPr>
        <w:t>損及渠等</w:t>
      </w:r>
      <w:proofErr w:type="gramEnd"/>
      <w:r w:rsidR="00BF0F19" w:rsidRPr="00BF0F19">
        <w:rPr>
          <w:rFonts w:ascii="標楷體" w:eastAsia="標楷體" w:hAnsi="標楷體" w:cs="標楷體" w:hint="eastAsia"/>
        </w:rPr>
        <w:t>權益；C.為強化個案管理，促使個案固定於1家醫療院所就醫，訂有適用於新舊個案之固定就醫率、個案收案率、個案療育資源聯結率及舊個案部分另增加年就醫總次數較前一年次數下降比率等多項品質指標，並就達標之醫療院所核發品質獎勵金，惟多數參與醫療院所品質指標之</w:t>
      </w:r>
      <w:r w:rsidR="00966443">
        <w:rPr>
          <w:rFonts w:ascii="標楷體" w:eastAsia="標楷體" w:hAnsi="標楷體" w:cs="標楷體" w:hint="eastAsia"/>
        </w:rPr>
        <w:t>達成</w:t>
      </w:r>
      <w:r w:rsidR="00BF0F19" w:rsidRPr="00BF0F19">
        <w:rPr>
          <w:rFonts w:ascii="標楷體" w:eastAsia="標楷體" w:hAnsi="標楷體" w:cs="標楷體" w:hint="eastAsia"/>
        </w:rPr>
        <w:t>情形仍有大幅成長空間，</w:t>
      </w:r>
      <w:proofErr w:type="gramStart"/>
      <w:r w:rsidR="00BF0F19" w:rsidRPr="00BF0F19">
        <w:rPr>
          <w:rFonts w:ascii="標楷體" w:eastAsia="標楷體" w:hAnsi="標楷體" w:cs="標楷體" w:hint="eastAsia"/>
        </w:rPr>
        <w:t>且舊個案</w:t>
      </w:r>
      <w:proofErr w:type="gramEnd"/>
      <w:r w:rsidR="00BF0F19" w:rsidRPr="00BF0F19">
        <w:rPr>
          <w:rFonts w:ascii="標楷體" w:eastAsia="標楷體" w:hAnsi="標楷體" w:cs="標楷體" w:hint="eastAsia"/>
        </w:rPr>
        <w:t>收案率項目未達獎勵門檻，致未獲獎勵金等情，經函請健保署滾動檢討現行方案規定，瞭解方案參與情形欠佳之癥結原因。</w:t>
      </w:r>
      <w:r w:rsidR="00BF0F19" w:rsidRPr="00966443">
        <w:rPr>
          <w:rFonts w:ascii="標楷體" w:eastAsia="標楷體" w:hAnsi="標楷體" w:cs="標楷體" w:hint="eastAsia"/>
        </w:rPr>
        <w:t>據復：</w:t>
      </w:r>
      <w:r w:rsidR="00966443" w:rsidRPr="00966443">
        <w:rPr>
          <w:rFonts w:ascii="標楷體" w:eastAsia="標楷體" w:hAnsi="標楷體" w:cs="標楷體" w:hint="eastAsia"/>
        </w:rPr>
        <w:t>A.已邀集發展遲緩早期療育推動小組專家及相關學會召開會議，</w:t>
      </w:r>
      <w:proofErr w:type="gramStart"/>
      <w:r w:rsidR="00966443" w:rsidRPr="00966443">
        <w:rPr>
          <w:rFonts w:ascii="標楷體" w:eastAsia="標楷體" w:hAnsi="標楷體" w:cs="標楷體" w:hint="eastAsia"/>
        </w:rPr>
        <w:t>研</w:t>
      </w:r>
      <w:proofErr w:type="gramEnd"/>
      <w:r w:rsidR="00966443" w:rsidRPr="00966443">
        <w:rPr>
          <w:rFonts w:ascii="標楷體" w:eastAsia="標楷體" w:hAnsi="標楷體" w:cs="標楷體" w:hint="eastAsia"/>
        </w:rPr>
        <w:t>議停止辦理早療方案，並回歸改由醫療服務給付項目及支付標準給付，刻正依建議增訂診療項目與支付標準；B.將持續與國健署、各市縣衛生局及相關專科醫學會等，就方案新個案收案條件，納入由地方政府委託評估醫院個案之可行性進行</w:t>
      </w:r>
      <w:proofErr w:type="gramStart"/>
      <w:r w:rsidR="00966443" w:rsidRPr="00966443">
        <w:rPr>
          <w:rFonts w:ascii="標楷體" w:eastAsia="標楷體" w:hAnsi="標楷體" w:cs="標楷體" w:hint="eastAsia"/>
        </w:rPr>
        <w:t>研</w:t>
      </w:r>
      <w:proofErr w:type="gramEnd"/>
      <w:r w:rsidR="00966443" w:rsidRPr="00966443">
        <w:rPr>
          <w:rFonts w:ascii="標楷體" w:eastAsia="標楷體" w:hAnsi="標楷體" w:cs="標楷體" w:hint="eastAsia"/>
        </w:rPr>
        <w:t>商，以期擴大早療服務照護範圍，強化方案推動成效；C.將持續與相關專家團體、醫院協會及醫師公會等單位，</w:t>
      </w:r>
      <w:proofErr w:type="gramStart"/>
      <w:r w:rsidR="00966443" w:rsidRPr="00966443">
        <w:rPr>
          <w:rFonts w:ascii="標楷體" w:eastAsia="標楷體" w:hAnsi="標楷體" w:cs="標楷體" w:hint="eastAsia"/>
        </w:rPr>
        <w:t>研</w:t>
      </w:r>
      <w:proofErr w:type="gramEnd"/>
      <w:r w:rsidR="00966443" w:rsidRPr="00966443">
        <w:rPr>
          <w:rFonts w:ascii="標楷體" w:eastAsia="標楷體" w:hAnsi="標楷體" w:cs="標楷體" w:hint="eastAsia"/>
        </w:rPr>
        <w:t>議提升早療兒童醫療照護品質、擴大醫療服務範圍及提升可近性之具體作法，促使早療個案獲得更完善、適宜且具品質之</w:t>
      </w:r>
      <w:proofErr w:type="gramStart"/>
      <w:r w:rsidR="00966443" w:rsidRPr="00966443">
        <w:rPr>
          <w:rFonts w:ascii="標楷體" w:eastAsia="標楷體" w:hAnsi="標楷體" w:cs="標楷體" w:hint="eastAsia"/>
        </w:rPr>
        <w:t>療育照護</w:t>
      </w:r>
      <w:proofErr w:type="gramEnd"/>
      <w:r w:rsidR="00966443" w:rsidRPr="00966443">
        <w:rPr>
          <w:rFonts w:ascii="標楷體" w:eastAsia="標楷體" w:hAnsi="標楷體" w:cs="標楷體" w:hint="eastAsia"/>
        </w:rPr>
        <w:t>。</w:t>
      </w:r>
    </w:p>
    <w:p w:rsidR="007C5533" w:rsidRPr="00BA20E6" w:rsidRDefault="0050615E" w:rsidP="00BA20E6">
      <w:pPr>
        <w:tabs>
          <w:tab w:val="left" w:pos="686"/>
        </w:tabs>
        <w:overflowPunct w:val="0"/>
        <w:spacing w:line="460" w:lineRule="exact"/>
        <w:ind w:firstLineChars="200" w:firstLine="480"/>
        <w:jc w:val="both"/>
        <w:outlineLvl w:val="0"/>
        <w:rPr>
          <w:rFonts w:ascii="標楷體" w:eastAsia="標楷體" w:hAnsi="標楷體" w:cs="標楷體"/>
        </w:rPr>
      </w:pPr>
      <w:r w:rsidRPr="00BA20E6">
        <w:rPr>
          <w:rFonts w:ascii="標楷體" w:eastAsia="標楷體" w:hAnsi="標楷體" w:cs="標楷體" w:hint="eastAsia"/>
        </w:rPr>
        <w:t>茲將該基金收支餘</w:t>
      </w:r>
      <w:proofErr w:type="gramStart"/>
      <w:r w:rsidRPr="00BA20E6">
        <w:rPr>
          <w:rFonts w:ascii="標楷體" w:eastAsia="標楷體" w:hAnsi="標楷體" w:cs="標楷體" w:hint="eastAsia"/>
        </w:rPr>
        <w:t>絀</w:t>
      </w:r>
      <w:proofErr w:type="gramEnd"/>
      <w:r w:rsidRPr="00BA20E6">
        <w:rPr>
          <w:rFonts w:ascii="標楷體" w:eastAsia="標楷體" w:hAnsi="標楷體" w:cs="標楷體" w:hint="eastAsia"/>
        </w:rPr>
        <w:t>與餘</w:t>
      </w:r>
      <w:proofErr w:type="gramStart"/>
      <w:r w:rsidRPr="00BA20E6">
        <w:rPr>
          <w:rFonts w:ascii="標楷體" w:eastAsia="標楷體" w:hAnsi="標楷體" w:cs="標楷體" w:hint="eastAsia"/>
        </w:rPr>
        <w:t>絀</w:t>
      </w:r>
      <w:proofErr w:type="gramEnd"/>
      <w:r w:rsidRPr="00BA20E6">
        <w:rPr>
          <w:rFonts w:ascii="標楷體" w:eastAsia="標楷體" w:hAnsi="標楷體" w:cs="標楷體" w:hint="eastAsia"/>
        </w:rPr>
        <w:t>撥補之審定，暨餘</w:t>
      </w:r>
      <w:proofErr w:type="gramStart"/>
      <w:r w:rsidRPr="00BA20E6">
        <w:rPr>
          <w:rFonts w:ascii="標楷體" w:eastAsia="標楷體" w:hAnsi="標楷體" w:cs="標楷體" w:hint="eastAsia"/>
        </w:rPr>
        <w:t>絀</w:t>
      </w:r>
      <w:proofErr w:type="gramEnd"/>
      <w:r w:rsidRPr="00BA20E6">
        <w:rPr>
          <w:rFonts w:ascii="標楷體" w:eastAsia="標楷體" w:hAnsi="標楷體" w:cs="標楷體" w:hint="eastAsia"/>
        </w:rPr>
        <w:t>審定後現金流量及資產負債狀況，分別列表如次：</w:t>
      </w:r>
    </w:p>
    <w:p w:rsidR="007405FE" w:rsidRPr="007C5533" w:rsidRDefault="007C5533" w:rsidP="007C5533">
      <w:pPr>
        <w:spacing w:line="20" w:lineRule="exact"/>
        <w:rPr>
          <w:sz w:val="10"/>
        </w:rPr>
      </w:pPr>
      <w:r>
        <w:br w:type="page"/>
      </w:r>
    </w:p>
    <w:tbl>
      <w:tblPr>
        <w:tblW w:w="10209" w:type="dxa"/>
        <w:tblInd w:w="-256" w:type="dxa"/>
        <w:tblLayout w:type="fixed"/>
        <w:tblCellMar>
          <w:left w:w="28" w:type="dxa"/>
          <w:right w:w="28" w:type="dxa"/>
        </w:tblCellMar>
        <w:tblLook w:val="0000" w:firstRow="0" w:lastRow="0" w:firstColumn="0" w:lastColumn="0" w:noHBand="0" w:noVBand="0"/>
      </w:tblPr>
      <w:tblGrid>
        <w:gridCol w:w="119"/>
        <w:gridCol w:w="15"/>
        <w:gridCol w:w="2152"/>
        <w:gridCol w:w="142"/>
        <w:gridCol w:w="1298"/>
        <w:gridCol w:w="44"/>
        <w:gridCol w:w="731"/>
        <w:gridCol w:w="545"/>
        <w:gridCol w:w="194"/>
        <w:gridCol w:w="953"/>
        <w:gridCol w:w="204"/>
        <w:gridCol w:w="186"/>
        <w:gridCol w:w="1223"/>
        <w:gridCol w:w="79"/>
        <w:gridCol w:w="196"/>
        <w:gridCol w:w="1165"/>
        <w:gridCol w:w="91"/>
        <w:gridCol w:w="18"/>
        <w:gridCol w:w="689"/>
        <w:gridCol w:w="71"/>
        <w:gridCol w:w="94"/>
      </w:tblGrid>
      <w:tr w:rsidR="00D736EF" w:rsidTr="00C2464B">
        <w:trPr>
          <w:tblHeader/>
        </w:trPr>
        <w:tc>
          <w:tcPr>
            <w:tcW w:w="10209" w:type="dxa"/>
            <w:gridSpan w:val="21"/>
            <w:tcBorders>
              <w:bottom w:val="single" w:sz="8" w:space="0" w:color="auto"/>
            </w:tcBorders>
          </w:tcPr>
          <w:p w:rsidR="00D736EF" w:rsidRDefault="00883DEA" w:rsidP="00C2464B">
            <w:pPr>
              <w:snapToGrid w:val="0"/>
              <w:jc w:val="center"/>
              <w:rPr>
                <w:rFonts w:ascii="標楷體" w:eastAsia="標楷體" w:hAnsi="標楷體"/>
                <w:b/>
                <w:sz w:val="32"/>
                <w:u w:val="single"/>
              </w:rPr>
            </w:pPr>
            <w:r>
              <w:rPr>
                <w:rFonts w:hAnsi="標楷體"/>
                <w:sz w:val="32"/>
                <w:szCs w:val="20"/>
              </w:rPr>
              <w:lastRenderedPageBreak/>
              <w:br w:type="page"/>
            </w:r>
            <w:r w:rsidR="007405FE">
              <w:rPr>
                <w:rFonts w:hAnsi="標楷體"/>
                <w:b/>
                <w:bCs/>
                <w:sz w:val="32"/>
              </w:rPr>
              <w:br w:type="page"/>
            </w:r>
            <w:r w:rsidR="007405FE">
              <w:br w:type="page"/>
            </w:r>
            <w:r w:rsidR="003819A6">
              <w:br w:type="page"/>
            </w:r>
            <w:r w:rsidR="00D736EF">
              <w:rPr>
                <w:rFonts w:ascii="標楷體" w:eastAsia="標楷體" w:hAnsi="標楷體" w:hint="eastAsia"/>
                <w:b/>
                <w:sz w:val="32"/>
                <w:u w:val="single"/>
              </w:rPr>
              <w:t xml:space="preserve">　</w:t>
            </w:r>
            <w:r w:rsidR="00D736EF" w:rsidRPr="00E82C09">
              <w:rPr>
                <w:rFonts w:ascii="標楷體" w:eastAsia="標楷體" w:hAnsi="標楷體" w:hint="eastAsia"/>
                <w:b/>
                <w:sz w:val="32"/>
                <w:u w:val="single"/>
              </w:rPr>
              <w:t>全民健康保險基金</w:t>
            </w:r>
            <w:r w:rsidR="00D736EF">
              <w:rPr>
                <w:rFonts w:ascii="標楷體" w:eastAsia="標楷體" w:hAnsi="標楷體" w:hint="eastAsia"/>
                <w:b/>
                <w:sz w:val="32"/>
                <w:u w:val="single"/>
              </w:rPr>
              <w:t>收支餘</w:t>
            </w:r>
            <w:proofErr w:type="gramStart"/>
            <w:r w:rsidR="00D736EF">
              <w:rPr>
                <w:rFonts w:ascii="標楷體" w:eastAsia="標楷體" w:hAnsi="標楷體" w:hint="eastAsia"/>
                <w:b/>
                <w:sz w:val="32"/>
                <w:u w:val="single"/>
              </w:rPr>
              <w:t>絀</w:t>
            </w:r>
            <w:proofErr w:type="gramEnd"/>
            <w:r w:rsidR="00D736EF">
              <w:rPr>
                <w:rFonts w:ascii="標楷體" w:eastAsia="標楷體" w:hAnsi="標楷體" w:hint="eastAsia"/>
                <w:b/>
                <w:sz w:val="32"/>
                <w:u w:val="single"/>
              </w:rPr>
              <w:t xml:space="preserve">審定表　</w:t>
            </w:r>
          </w:p>
          <w:p w:rsidR="00D736EF" w:rsidRDefault="00D736EF" w:rsidP="00AC1F5B">
            <w:pPr>
              <w:tabs>
                <w:tab w:val="left" w:pos="3942"/>
                <w:tab w:val="left" w:pos="8697"/>
              </w:tabs>
              <w:snapToGrid w:val="0"/>
              <w:ind w:rightChars="-23" w:right="-55"/>
              <w:jc w:val="both"/>
              <w:rPr>
                <w:rFonts w:ascii="標楷體" w:eastAsia="標楷體" w:hAnsi="標楷體"/>
                <w:b/>
                <w:sz w:val="32"/>
                <w:u w:val="single"/>
              </w:rPr>
            </w:pPr>
            <w:r>
              <w:rPr>
                <w:rFonts w:ascii="標楷體" w:eastAsia="標楷體" w:hAnsi="標楷體"/>
                <w:spacing w:val="60"/>
              </w:rPr>
              <w:tab/>
            </w:r>
            <w:r w:rsidR="002E6D39">
              <w:rPr>
                <w:rFonts w:ascii="標楷體" w:eastAsia="標楷體" w:hAnsi="標楷體" w:hint="eastAsia"/>
                <w:spacing w:val="60"/>
              </w:rPr>
              <w:t xml:space="preserve"> </w:t>
            </w:r>
            <w:r>
              <w:rPr>
                <w:rFonts w:ascii="標楷體" w:eastAsia="標楷體" w:hAnsi="標楷體" w:hint="eastAsia"/>
              </w:rPr>
              <w:t>中華民國</w:t>
            </w:r>
            <w:proofErr w:type="gramStart"/>
            <w:r w:rsidRPr="00E82C09">
              <w:rPr>
                <w:rFonts w:ascii="標楷體" w:eastAsia="標楷體" w:hAnsi="標楷體" w:hint="eastAsia"/>
              </w:rPr>
              <w:t>109</w:t>
            </w:r>
            <w:proofErr w:type="gramEnd"/>
            <w:r>
              <w:rPr>
                <w:rFonts w:ascii="標楷體" w:eastAsia="標楷體" w:hAnsi="標楷體" w:hint="eastAsia"/>
              </w:rPr>
              <w:t>年度</w:t>
            </w:r>
            <w:r w:rsidR="00291CBA">
              <w:rPr>
                <w:rFonts w:ascii="標楷體" w:eastAsia="標楷體" w:hAnsi="標楷體" w:hint="eastAsia"/>
              </w:rPr>
              <w:t xml:space="preserve">   </w:t>
            </w:r>
            <w:r w:rsidR="00FB1797">
              <w:rPr>
                <w:rFonts w:ascii="標楷體" w:eastAsia="標楷體" w:hAnsi="標楷體" w:hint="eastAsia"/>
              </w:rPr>
              <w:t xml:space="preserve">  </w:t>
            </w:r>
            <w:r w:rsidR="00291CBA">
              <w:rPr>
                <w:rFonts w:ascii="標楷體" w:eastAsia="標楷體" w:hAnsi="標楷體" w:hint="eastAsia"/>
              </w:rPr>
              <w:t xml:space="preserve">  </w:t>
            </w:r>
            <w:r>
              <w:rPr>
                <w:rFonts w:ascii="標楷體" w:eastAsia="標楷體" w:hAnsi="標楷體" w:hint="eastAsia"/>
              </w:rPr>
              <w:tab/>
            </w:r>
            <w:r>
              <w:rPr>
                <w:rFonts w:ascii="標楷體" w:eastAsia="標楷體" w:hAnsi="標楷體" w:hint="eastAsia"/>
                <w:spacing w:val="-20"/>
                <w:kern w:val="0"/>
              </w:rPr>
              <w:t>單位：新臺幣元</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gridSpan w:val="4"/>
            <w:vMerge w:val="restart"/>
            <w:tcBorders>
              <w:top w:val="single" w:sz="8" w:space="0" w:color="auto"/>
              <w:left w:val="nil"/>
              <w:bottom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科目</w:t>
            </w:r>
          </w:p>
        </w:tc>
        <w:tc>
          <w:tcPr>
            <w:tcW w:w="1342" w:type="dxa"/>
            <w:gridSpan w:val="2"/>
            <w:vMerge w:val="restart"/>
            <w:tcBorders>
              <w:top w:val="single" w:sz="8" w:space="0" w:color="auto"/>
            </w:tcBorders>
            <w:vAlign w:val="center"/>
          </w:tcPr>
          <w:p w:rsidR="00D736EF" w:rsidRDefault="00D736EF" w:rsidP="00447390">
            <w:pPr>
              <w:widowControl/>
              <w:overflowPunct w:val="0"/>
              <w:snapToGrid w:val="0"/>
              <w:ind w:leftChars="5" w:left="12" w:rightChars="14" w:right="34"/>
              <w:jc w:val="distribute"/>
              <w:rPr>
                <w:rFonts w:ascii="標楷體" w:eastAsia="標楷體" w:hAnsi="標楷體"/>
                <w:spacing w:val="-20"/>
              </w:rPr>
            </w:pPr>
            <w:r>
              <w:rPr>
                <w:rFonts w:ascii="標楷體" w:eastAsia="標楷體" w:hAnsi="標楷體" w:hint="eastAsia"/>
                <w:spacing w:val="-20"/>
              </w:rPr>
              <w:t>預算數</w:t>
            </w:r>
          </w:p>
        </w:tc>
        <w:tc>
          <w:tcPr>
            <w:tcW w:w="1470" w:type="dxa"/>
            <w:gridSpan w:val="3"/>
            <w:vMerge w:val="restart"/>
            <w:tcBorders>
              <w:top w:val="single" w:sz="8" w:space="0" w:color="auto"/>
            </w:tcBorders>
            <w:vAlign w:val="center"/>
          </w:tcPr>
          <w:p w:rsidR="00D736EF" w:rsidRDefault="00D736EF" w:rsidP="00447390">
            <w:pPr>
              <w:ind w:left="22" w:rightChars="13" w:right="31"/>
              <w:jc w:val="distribute"/>
              <w:rPr>
                <w:rFonts w:ascii="標楷體" w:eastAsia="標楷體" w:hAnsi="標楷體"/>
              </w:rPr>
            </w:pPr>
            <w:r>
              <w:rPr>
                <w:rFonts w:ascii="標楷體" w:eastAsia="標楷體" w:hAnsi="標楷體" w:hint="eastAsia"/>
              </w:rPr>
              <w:t>決算數</w:t>
            </w:r>
          </w:p>
        </w:tc>
        <w:tc>
          <w:tcPr>
            <w:tcW w:w="1343" w:type="dxa"/>
            <w:gridSpan w:val="3"/>
            <w:vMerge w:val="restart"/>
            <w:tcBorders>
              <w:top w:val="single" w:sz="8" w:space="0" w:color="auto"/>
            </w:tcBorders>
            <w:vAlign w:val="center"/>
          </w:tcPr>
          <w:p w:rsidR="00D736EF" w:rsidRDefault="00D736EF" w:rsidP="002B2EEC">
            <w:pPr>
              <w:jc w:val="distribute"/>
              <w:rPr>
                <w:rFonts w:ascii="標楷體" w:eastAsia="標楷體" w:hAnsi="標楷體"/>
              </w:rPr>
            </w:pPr>
            <w:r>
              <w:rPr>
                <w:rFonts w:ascii="標楷體" w:eastAsia="標楷體" w:hAnsi="標楷體" w:hint="eastAsia"/>
              </w:rPr>
              <w:t>修正數</w:t>
            </w:r>
          </w:p>
        </w:tc>
        <w:tc>
          <w:tcPr>
            <w:tcW w:w="1498" w:type="dxa"/>
            <w:gridSpan w:val="3"/>
            <w:vMerge w:val="restart"/>
            <w:tcBorders>
              <w:top w:val="single" w:sz="8" w:space="0" w:color="auto"/>
            </w:tcBorders>
            <w:vAlign w:val="center"/>
          </w:tcPr>
          <w:p w:rsidR="00D736EF" w:rsidRDefault="00D736EF" w:rsidP="00447390">
            <w:pPr>
              <w:ind w:left="-15"/>
              <w:jc w:val="distribute"/>
              <w:rPr>
                <w:rFonts w:ascii="標楷體" w:eastAsia="標楷體" w:hAnsi="標楷體"/>
                <w:spacing w:val="-10"/>
              </w:rPr>
            </w:pPr>
            <w:r>
              <w:rPr>
                <w:rFonts w:ascii="標楷體" w:eastAsia="標楷體" w:hAnsi="標楷體" w:hint="eastAsia"/>
                <w:spacing w:val="-10"/>
              </w:rPr>
              <w:t>決算審定數</w:t>
            </w:r>
          </w:p>
        </w:tc>
        <w:tc>
          <w:tcPr>
            <w:tcW w:w="2128" w:type="dxa"/>
            <w:gridSpan w:val="6"/>
            <w:tcBorders>
              <w:top w:val="single" w:sz="8" w:space="0" w:color="auto"/>
              <w:bottom w:val="nil"/>
              <w:right w:val="nil"/>
            </w:tcBorders>
            <w:vAlign w:val="center"/>
          </w:tcPr>
          <w:p w:rsidR="00D736EF" w:rsidRDefault="00D736EF" w:rsidP="002B2EEC">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D736EF" w:rsidRDefault="00D736EF" w:rsidP="00A82E04">
            <w:pPr>
              <w:spacing w:line="240" w:lineRule="exact"/>
              <w:ind w:rightChars="-10" w:right="-24"/>
              <w:jc w:val="distribute"/>
              <w:rPr>
                <w:rFonts w:ascii="標楷體" w:eastAsia="標楷體" w:hAnsi="標楷體"/>
              </w:rPr>
            </w:pPr>
            <w:r>
              <w:rPr>
                <w:rFonts w:ascii="標楷體" w:eastAsia="標楷體" w:hAnsi="標楷體" w:hint="eastAsia"/>
              </w:rPr>
              <w:t>比較增減</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0"/>
          <w:tblHeader/>
        </w:trPr>
        <w:tc>
          <w:tcPr>
            <w:tcW w:w="2428" w:type="dxa"/>
            <w:gridSpan w:val="4"/>
            <w:vMerge/>
            <w:tcBorders>
              <w:top w:val="nil"/>
              <w:left w:val="nil"/>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342" w:type="dxa"/>
            <w:gridSpan w:val="2"/>
            <w:vMerge/>
            <w:tcBorders>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470" w:type="dxa"/>
            <w:gridSpan w:val="3"/>
            <w:vMerge/>
            <w:tcBorders>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343" w:type="dxa"/>
            <w:gridSpan w:val="3"/>
            <w:vMerge/>
            <w:tcBorders>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498" w:type="dxa"/>
            <w:gridSpan w:val="3"/>
            <w:vMerge/>
            <w:tcBorders>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256" w:type="dxa"/>
            <w:gridSpan w:val="2"/>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872" w:type="dxa"/>
            <w:gridSpan w:val="4"/>
            <w:tcBorders>
              <w:bottom w:val="single" w:sz="8" w:space="0" w:color="auto"/>
              <w:right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697,043,622,000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698,304,215,363</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233,457,693</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698,537,673,056</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1,494,051,056</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0.21</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27,811</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27,811</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27,811</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保險收入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683,823,357,000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682,127,963,269</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233,457,693</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682,361,420,962</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- 1,461,936,038</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- 0.21</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13,220,265,000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16,176,224,283</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16,176,224,283</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2,955,959,283</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22.36</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699,000,494,000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700,433,344,808</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233,457,693</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700,666,802,501</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1,666,308,501</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0.24</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保險成本</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698,449,453,000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699,863,890,036</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233,457,693</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700,097,347,729</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1,647,894,729</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0.24</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198,450,000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238,648,246</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238,648,246</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40,198,246</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20.26</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行銷及業務費用</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352,591,000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330,806,526</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330,806,526</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- 21,784,474</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- 6.18</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- 1,956,872,000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- 2,129,129,445</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- 2,129,129,445</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- 172,257,445</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8.80</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1,957,946,000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2,133,843,569</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2,133,843,569</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175,897,569</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8.98</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1,031,465,000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1,054,267,532</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1,054,267,532</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22,802,532</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2.21</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926,481,000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1,079,576,037</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1,079,576,037</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153,095,037</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16.52</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1,074,000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4,686,313</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4,686,313</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3,612,313</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336.34</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1,074,000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4,686,313</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sz w:val="18"/>
                <w:szCs w:val="18"/>
              </w:rPr>
              <w:t>4,686,313</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noProof/>
                <w:sz w:val="18"/>
                <w:szCs w:val="18"/>
              </w:rPr>
              <w:t>3,612,313</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kern w:val="0"/>
                <w:sz w:val="18"/>
                <w:szCs w:val="18"/>
              </w:rPr>
              <w:t>336.34</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3"/>
        </w:trPr>
        <w:tc>
          <w:tcPr>
            <w:tcW w:w="2428" w:type="dxa"/>
            <w:gridSpan w:val="4"/>
            <w:tcBorders>
              <w:top w:val="nil"/>
              <w:left w:val="nil"/>
              <w:bottom w:val="nil"/>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42" w:type="dxa"/>
            <w:gridSpan w:val="2"/>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1,956,872,000</w:t>
            </w:r>
          </w:p>
        </w:tc>
        <w:tc>
          <w:tcPr>
            <w:tcW w:w="1470"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2,129,157,256</w:t>
            </w:r>
          </w:p>
        </w:tc>
        <w:tc>
          <w:tcPr>
            <w:tcW w:w="1343"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98" w:type="dxa"/>
            <w:gridSpan w:val="3"/>
            <w:tcBorders>
              <w:top w:val="nil"/>
              <w:bottom w:val="nil"/>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2,129,157,256</w:t>
            </w:r>
          </w:p>
        </w:tc>
        <w:tc>
          <w:tcPr>
            <w:tcW w:w="1256" w:type="dxa"/>
            <w:gridSpan w:val="2"/>
            <w:tcBorders>
              <w:top w:val="nil"/>
              <w:bottom w:val="nil"/>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172,285,256</w:t>
            </w:r>
          </w:p>
        </w:tc>
        <w:tc>
          <w:tcPr>
            <w:tcW w:w="872" w:type="dxa"/>
            <w:gridSpan w:val="4"/>
            <w:tcBorders>
              <w:top w:val="nil"/>
              <w:bottom w:val="nil"/>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8.80</w:t>
            </w:r>
          </w:p>
        </w:tc>
      </w:tr>
      <w:tr w:rsidR="00D736EF" w:rsidRPr="00571258"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4"/>
        </w:trPr>
        <w:tc>
          <w:tcPr>
            <w:tcW w:w="2428" w:type="dxa"/>
            <w:gridSpan w:val="4"/>
            <w:tcBorders>
              <w:top w:val="nil"/>
              <w:left w:val="nil"/>
              <w:bottom w:val="single" w:sz="8" w:space="0" w:color="auto"/>
            </w:tcBorders>
            <w:vAlign w:val="center"/>
          </w:tcPr>
          <w:p w:rsidR="00D736EF" w:rsidRPr="00571258" w:rsidRDefault="00D736EF" w:rsidP="00401006">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42" w:type="dxa"/>
            <w:gridSpan w:val="2"/>
            <w:tcBorders>
              <w:top w:val="nil"/>
              <w:bottom w:val="single" w:sz="8" w:space="0" w:color="auto"/>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70" w:type="dxa"/>
            <w:gridSpan w:val="3"/>
            <w:tcBorders>
              <w:top w:val="nil"/>
              <w:bottom w:val="single" w:sz="8" w:space="0" w:color="auto"/>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27,811</w:t>
            </w:r>
          </w:p>
        </w:tc>
        <w:tc>
          <w:tcPr>
            <w:tcW w:w="1343" w:type="dxa"/>
            <w:gridSpan w:val="3"/>
            <w:tcBorders>
              <w:top w:val="nil"/>
              <w:bottom w:val="single" w:sz="8" w:space="0" w:color="auto"/>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98" w:type="dxa"/>
            <w:gridSpan w:val="3"/>
            <w:tcBorders>
              <w:top w:val="nil"/>
              <w:bottom w:val="single" w:sz="8" w:space="0" w:color="auto"/>
            </w:tcBorders>
            <w:vAlign w:val="center"/>
          </w:tcPr>
          <w:p w:rsidR="00D736EF" w:rsidRPr="00621D9A" w:rsidRDefault="00D736EF" w:rsidP="00401006">
            <w:pPr>
              <w:spacing w:line="240" w:lineRule="exact"/>
              <w:jc w:val="right"/>
              <w:rPr>
                <w:rFonts w:ascii="新細明體" w:hAnsi="新細明體"/>
                <w:sz w:val="18"/>
                <w:szCs w:val="18"/>
              </w:rPr>
            </w:pPr>
            <w:r w:rsidRPr="00E82C09">
              <w:rPr>
                <w:rFonts w:ascii="新細明體" w:hAnsi="新細明體" w:hint="eastAsia"/>
                <w:b/>
                <w:sz w:val="18"/>
                <w:szCs w:val="18"/>
              </w:rPr>
              <w:t>27,811</w:t>
            </w:r>
          </w:p>
        </w:tc>
        <w:tc>
          <w:tcPr>
            <w:tcW w:w="1256" w:type="dxa"/>
            <w:gridSpan w:val="2"/>
            <w:tcBorders>
              <w:top w:val="nil"/>
              <w:bottom w:val="single" w:sz="8" w:space="0" w:color="auto"/>
            </w:tcBorders>
            <w:vAlign w:val="center"/>
          </w:tcPr>
          <w:p w:rsidR="00D736EF" w:rsidRPr="00621D9A" w:rsidRDefault="00D736EF" w:rsidP="00401006">
            <w:pPr>
              <w:spacing w:line="240" w:lineRule="exact"/>
              <w:jc w:val="right"/>
              <w:rPr>
                <w:rFonts w:ascii="新細明體" w:hAnsi="新細明體"/>
                <w:noProof/>
                <w:sz w:val="18"/>
                <w:szCs w:val="18"/>
              </w:rPr>
            </w:pPr>
            <w:r w:rsidRPr="00E82C09">
              <w:rPr>
                <w:rFonts w:ascii="新細明體" w:hAnsi="新細明體" w:hint="eastAsia"/>
                <w:b/>
                <w:noProof/>
                <w:sz w:val="18"/>
                <w:szCs w:val="18"/>
              </w:rPr>
              <w:t>27,811</w:t>
            </w:r>
          </w:p>
        </w:tc>
        <w:tc>
          <w:tcPr>
            <w:tcW w:w="872" w:type="dxa"/>
            <w:gridSpan w:val="4"/>
            <w:tcBorders>
              <w:top w:val="nil"/>
              <w:bottom w:val="single" w:sz="8" w:space="0" w:color="auto"/>
              <w:right w:val="nil"/>
            </w:tcBorders>
            <w:vAlign w:val="center"/>
          </w:tcPr>
          <w:p w:rsidR="00D736EF" w:rsidRPr="00621D9A" w:rsidRDefault="00D736EF" w:rsidP="00401006">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w:t>
            </w:r>
          </w:p>
        </w:tc>
      </w:tr>
      <w:tr w:rsidR="00D736EF" w:rsidTr="00C2464B">
        <w:tblPrEx>
          <w:jc w:val="center"/>
        </w:tblPrEx>
        <w:trPr>
          <w:gridBefore w:val="1"/>
          <w:gridAfter w:val="2"/>
          <w:wBefore w:w="119" w:type="dxa"/>
          <w:wAfter w:w="165" w:type="dxa"/>
          <w:tblHeader/>
          <w:jc w:val="center"/>
        </w:trPr>
        <w:tc>
          <w:tcPr>
            <w:tcW w:w="9925" w:type="dxa"/>
            <w:gridSpan w:val="18"/>
          </w:tcPr>
          <w:p w:rsidR="00D736EF" w:rsidRPr="00BD6C64" w:rsidRDefault="008F2F4F" w:rsidP="00C2464B">
            <w:pPr>
              <w:widowControl/>
              <w:tabs>
                <w:tab w:val="left" w:pos="540"/>
                <w:tab w:val="center" w:pos="4800"/>
              </w:tabs>
              <w:adjustRightInd w:val="0"/>
              <w:snapToGrid w:val="0"/>
              <w:ind w:left="-284"/>
              <w:jc w:val="center"/>
              <w:rPr>
                <w:rFonts w:ascii="標楷體" w:eastAsia="標楷體" w:hAnsi="標楷體"/>
                <w:b/>
                <w:sz w:val="32"/>
                <w:u w:val="single"/>
              </w:rPr>
            </w:pPr>
            <w:r>
              <w:lastRenderedPageBreak/>
              <w:br w:type="page"/>
            </w:r>
            <w:r w:rsidR="00D736EF" w:rsidRPr="00BD6C64">
              <w:rPr>
                <w:rFonts w:ascii="標楷體" w:eastAsia="標楷體" w:hAnsi="標楷體" w:cs="標楷體" w:hint="eastAsia"/>
                <w:b/>
                <w:color w:val="000000"/>
                <w:sz w:val="32"/>
                <w:u w:val="single" w:color="000000"/>
              </w:rPr>
              <w:t xml:space="preserve">　</w:t>
            </w:r>
            <w:r w:rsidR="00D736EF" w:rsidRPr="00BD6C64">
              <w:rPr>
                <w:rFonts w:ascii="標楷體" w:eastAsia="標楷體" w:hAnsi="標楷體" w:cs="標楷體"/>
                <w:b/>
                <w:color w:val="000000"/>
                <w:sz w:val="32"/>
                <w:u w:val="single" w:color="000000"/>
              </w:rPr>
              <w:t>全民健康保險基金</w:t>
            </w:r>
            <w:r w:rsidR="00D736EF" w:rsidRPr="00BD6C64">
              <w:rPr>
                <w:rFonts w:ascii="標楷體" w:eastAsia="標楷體" w:hAnsi="標楷體" w:cs="標楷體" w:hint="eastAsia"/>
                <w:b/>
                <w:color w:val="000000"/>
                <w:sz w:val="32"/>
                <w:u w:val="single" w:color="000000"/>
              </w:rPr>
              <w:t>餘</w:t>
            </w:r>
            <w:proofErr w:type="gramStart"/>
            <w:r w:rsidR="00D736EF" w:rsidRPr="00BD6C64">
              <w:rPr>
                <w:rFonts w:ascii="標楷體" w:eastAsia="標楷體" w:hAnsi="標楷體" w:cs="標楷體" w:hint="eastAsia"/>
                <w:b/>
                <w:color w:val="000000"/>
                <w:sz w:val="32"/>
                <w:u w:val="single" w:color="000000"/>
              </w:rPr>
              <w:t>絀</w:t>
            </w:r>
            <w:proofErr w:type="gramEnd"/>
            <w:r w:rsidR="00D736EF" w:rsidRPr="00BD6C64">
              <w:rPr>
                <w:rFonts w:ascii="標楷體" w:eastAsia="標楷體" w:hAnsi="標楷體" w:cs="標楷體" w:hint="eastAsia"/>
                <w:b/>
                <w:color w:val="000000"/>
                <w:sz w:val="32"/>
                <w:u w:val="single" w:color="000000"/>
              </w:rPr>
              <w:t xml:space="preserve">撥補審定表　</w:t>
            </w:r>
          </w:p>
          <w:p w:rsidR="00D736EF" w:rsidRDefault="00D736EF" w:rsidP="00C2464B">
            <w:pPr>
              <w:tabs>
                <w:tab w:val="left" w:pos="3982"/>
                <w:tab w:val="left" w:pos="8520"/>
              </w:tabs>
              <w:snapToGrid w:val="0"/>
              <w:ind w:rightChars="17" w:right="41"/>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109</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380"/>
          <w:tblHeader/>
          <w:jc w:val="center"/>
        </w:trPr>
        <w:tc>
          <w:tcPr>
            <w:tcW w:w="2167" w:type="dxa"/>
            <w:gridSpan w:val="2"/>
            <w:vMerge w:val="restart"/>
            <w:tcBorders>
              <w:top w:val="single" w:sz="8" w:space="0" w:color="auto"/>
              <w:left w:val="nil"/>
              <w:bottom w:val="nil"/>
            </w:tcBorders>
            <w:vAlign w:val="center"/>
          </w:tcPr>
          <w:p w:rsidR="00D736EF" w:rsidRDefault="00D736EF" w:rsidP="00401006">
            <w:pPr>
              <w:spacing w:line="240" w:lineRule="exact"/>
              <w:ind w:left="113" w:right="113"/>
              <w:jc w:val="distribute"/>
              <w:rPr>
                <w:rFonts w:eastAsia="標楷體"/>
              </w:rPr>
            </w:pPr>
            <w:r>
              <w:rPr>
                <w:rFonts w:eastAsia="標楷體" w:hint="eastAsia"/>
              </w:rPr>
              <w:t>項</w:t>
            </w:r>
            <w:r w:rsidR="00C2464B">
              <w:rPr>
                <w:rFonts w:eastAsia="標楷體" w:hint="eastAsia"/>
              </w:rPr>
              <w:t xml:space="preserve">   </w:t>
            </w:r>
            <w:r>
              <w:rPr>
                <w:rFonts w:eastAsia="標楷體" w:hint="eastAsia"/>
              </w:rPr>
              <w:t>目</w:t>
            </w:r>
          </w:p>
        </w:tc>
        <w:tc>
          <w:tcPr>
            <w:tcW w:w="1440" w:type="dxa"/>
            <w:gridSpan w:val="2"/>
            <w:vMerge w:val="restart"/>
            <w:tcBorders>
              <w:top w:val="single" w:sz="8" w:space="0" w:color="auto"/>
            </w:tcBorders>
            <w:vAlign w:val="center"/>
          </w:tcPr>
          <w:p w:rsidR="00D736EF" w:rsidRDefault="00D736EF" w:rsidP="00447390">
            <w:pPr>
              <w:spacing w:line="240" w:lineRule="exact"/>
              <w:jc w:val="distribute"/>
              <w:rPr>
                <w:rFonts w:eastAsia="標楷體"/>
              </w:rPr>
            </w:pPr>
            <w:r>
              <w:rPr>
                <w:rFonts w:eastAsia="標楷體" w:hint="eastAsia"/>
              </w:rPr>
              <w:t>預算數</w:t>
            </w:r>
          </w:p>
        </w:tc>
        <w:tc>
          <w:tcPr>
            <w:tcW w:w="1320" w:type="dxa"/>
            <w:gridSpan w:val="3"/>
            <w:vMerge w:val="restart"/>
            <w:tcBorders>
              <w:top w:val="single" w:sz="8" w:space="0" w:color="auto"/>
            </w:tcBorders>
            <w:vAlign w:val="center"/>
          </w:tcPr>
          <w:p w:rsidR="00D736EF" w:rsidRDefault="00D736EF" w:rsidP="00447390">
            <w:pPr>
              <w:spacing w:line="240" w:lineRule="exact"/>
              <w:ind w:right="18"/>
              <w:jc w:val="distribute"/>
              <w:rPr>
                <w:rFonts w:eastAsia="標楷體"/>
                <w:spacing w:val="-20"/>
              </w:rPr>
            </w:pPr>
            <w:r>
              <w:rPr>
                <w:rFonts w:eastAsia="標楷體" w:hint="eastAsia"/>
                <w:spacing w:val="-20"/>
              </w:rPr>
              <w:t>決算數</w:t>
            </w:r>
          </w:p>
        </w:tc>
        <w:tc>
          <w:tcPr>
            <w:tcW w:w="1351" w:type="dxa"/>
            <w:gridSpan w:val="3"/>
            <w:vMerge w:val="restart"/>
            <w:tcBorders>
              <w:top w:val="single" w:sz="8" w:space="0" w:color="auto"/>
              <w:bottom w:val="nil"/>
            </w:tcBorders>
            <w:vAlign w:val="center"/>
          </w:tcPr>
          <w:p w:rsidR="00D736EF" w:rsidRDefault="00D736EF" w:rsidP="00401006">
            <w:pPr>
              <w:spacing w:line="240" w:lineRule="exact"/>
              <w:jc w:val="distribute"/>
              <w:rPr>
                <w:rFonts w:eastAsia="標楷體"/>
                <w:spacing w:val="-30"/>
              </w:rPr>
            </w:pPr>
            <w:r>
              <w:rPr>
                <w:rFonts w:ascii="標楷體" w:eastAsia="標楷體" w:hAnsi="標楷體" w:hint="eastAsia"/>
                <w:bCs/>
              </w:rPr>
              <w:t>修正數</w:t>
            </w:r>
          </w:p>
        </w:tc>
        <w:tc>
          <w:tcPr>
            <w:tcW w:w="1409" w:type="dxa"/>
            <w:gridSpan w:val="2"/>
            <w:vMerge w:val="restart"/>
            <w:tcBorders>
              <w:top w:val="single" w:sz="8" w:space="0" w:color="auto"/>
            </w:tcBorders>
            <w:vAlign w:val="center"/>
          </w:tcPr>
          <w:p w:rsidR="00D736EF" w:rsidRDefault="00D736EF" w:rsidP="002E6D39">
            <w:pPr>
              <w:spacing w:line="240" w:lineRule="exact"/>
              <w:ind w:firstLineChars="11" w:firstLine="24"/>
              <w:jc w:val="distribute"/>
              <w:rPr>
                <w:rFonts w:eastAsia="標楷體"/>
                <w:spacing w:val="-10"/>
              </w:rPr>
            </w:pPr>
            <w:r>
              <w:rPr>
                <w:rFonts w:eastAsia="標楷體" w:hint="eastAsia"/>
                <w:spacing w:val="-10"/>
              </w:rPr>
              <w:t>決算審定數</w:t>
            </w:r>
          </w:p>
        </w:tc>
        <w:tc>
          <w:tcPr>
            <w:tcW w:w="2238" w:type="dxa"/>
            <w:gridSpan w:val="6"/>
            <w:tcBorders>
              <w:top w:val="single" w:sz="8" w:space="0" w:color="auto"/>
              <w:bottom w:val="nil"/>
              <w:right w:val="nil"/>
            </w:tcBorders>
            <w:vAlign w:val="center"/>
          </w:tcPr>
          <w:p w:rsidR="00D736EF" w:rsidRDefault="00D736EF" w:rsidP="00401006">
            <w:pPr>
              <w:spacing w:line="240" w:lineRule="exact"/>
              <w:jc w:val="distribute"/>
              <w:rPr>
                <w:rFonts w:ascii="標楷體" w:eastAsia="標楷體" w:hAnsi="標楷體"/>
              </w:rPr>
            </w:pPr>
            <w:r>
              <w:rPr>
                <w:rFonts w:ascii="標楷體" w:eastAsia="標楷體" w:hAnsi="標楷體" w:hint="eastAsia"/>
              </w:rPr>
              <w:t>審定數與預算數</w:t>
            </w:r>
          </w:p>
          <w:p w:rsidR="00D736EF" w:rsidRDefault="00D736EF" w:rsidP="00401006">
            <w:pPr>
              <w:spacing w:line="240" w:lineRule="exact"/>
              <w:jc w:val="distribute"/>
              <w:rPr>
                <w:rFonts w:ascii="標楷體" w:eastAsia="標楷體" w:hAnsi="標楷體"/>
              </w:rPr>
            </w:pPr>
            <w:r>
              <w:rPr>
                <w:rFonts w:ascii="標楷體" w:eastAsia="標楷體" w:hAnsi="標楷體" w:hint="eastAsia"/>
              </w:rPr>
              <w:t>比較增減</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389"/>
          <w:tblHeader/>
          <w:jc w:val="center"/>
        </w:trPr>
        <w:tc>
          <w:tcPr>
            <w:tcW w:w="2167" w:type="dxa"/>
            <w:gridSpan w:val="2"/>
            <w:vMerge/>
            <w:tcBorders>
              <w:top w:val="nil"/>
              <w:left w:val="nil"/>
              <w:bottom w:val="single" w:sz="8" w:space="0" w:color="auto"/>
            </w:tcBorders>
            <w:vAlign w:val="center"/>
          </w:tcPr>
          <w:p w:rsidR="00D736EF" w:rsidRDefault="00D736EF" w:rsidP="00401006">
            <w:pPr>
              <w:spacing w:line="240" w:lineRule="exact"/>
              <w:ind w:left="113" w:right="113"/>
              <w:jc w:val="distribute"/>
              <w:rPr>
                <w:rFonts w:eastAsia="標楷體"/>
              </w:rPr>
            </w:pPr>
          </w:p>
        </w:tc>
        <w:tc>
          <w:tcPr>
            <w:tcW w:w="1440" w:type="dxa"/>
            <w:gridSpan w:val="2"/>
            <w:vMerge/>
            <w:tcBorders>
              <w:bottom w:val="single" w:sz="8" w:space="0" w:color="auto"/>
            </w:tcBorders>
            <w:vAlign w:val="center"/>
          </w:tcPr>
          <w:p w:rsidR="00D736EF" w:rsidRDefault="00D736EF" w:rsidP="00401006">
            <w:pPr>
              <w:spacing w:line="240" w:lineRule="exact"/>
              <w:ind w:left="113" w:right="113"/>
              <w:jc w:val="distribute"/>
              <w:rPr>
                <w:rFonts w:eastAsia="標楷體"/>
              </w:rPr>
            </w:pPr>
          </w:p>
        </w:tc>
        <w:tc>
          <w:tcPr>
            <w:tcW w:w="1320" w:type="dxa"/>
            <w:gridSpan w:val="3"/>
            <w:vMerge/>
            <w:tcBorders>
              <w:bottom w:val="single" w:sz="8" w:space="0" w:color="auto"/>
            </w:tcBorders>
            <w:vAlign w:val="center"/>
          </w:tcPr>
          <w:p w:rsidR="00D736EF" w:rsidRDefault="00D736EF" w:rsidP="00401006">
            <w:pPr>
              <w:spacing w:line="240" w:lineRule="exact"/>
              <w:ind w:left="113" w:right="113"/>
              <w:jc w:val="distribute"/>
              <w:rPr>
                <w:rFonts w:eastAsia="標楷體"/>
              </w:rPr>
            </w:pPr>
          </w:p>
        </w:tc>
        <w:tc>
          <w:tcPr>
            <w:tcW w:w="1351" w:type="dxa"/>
            <w:gridSpan w:val="3"/>
            <w:vMerge/>
            <w:tcBorders>
              <w:top w:val="nil"/>
              <w:bottom w:val="single" w:sz="8" w:space="0" w:color="auto"/>
            </w:tcBorders>
            <w:vAlign w:val="center"/>
          </w:tcPr>
          <w:p w:rsidR="00D736EF" w:rsidRDefault="00D736EF" w:rsidP="00401006">
            <w:pPr>
              <w:spacing w:line="240" w:lineRule="exact"/>
              <w:ind w:left="113" w:right="113"/>
              <w:jc w:val="distribute"/>
              <w:rPr>
                <w:rFonts w:eastAsia="標楷體"/>
              </w:rPr>
            </w:pPr>
          </w:p>
        </w:tc>
        <w:tc>
          <w:tcPr>
            <w:tcW w:w="1409" w:type="dxa"/>
            <w:gridSpan w:val="2"/>
            <w:vMerge/>
            <w:tcBorders>
              <w:bottom w:val="single" w:sz="8" w:space="0" w:color="auto"/>
            </w:tcBorders>
            <w:vAlign w:val="center"/>
          </w:tcPr>
          <w:p w:rsidR="00D736EF" w:rsidRDefault="00D736EF" w:rsidP="00401006">
            <w:pPr>
              <w:spacing w:line="240" w:lineRule="exact"/>
              <w:ind w:left="113" w:right="113"/>
              <w:jc w:val="distribute"/>
              <w:rPr>
                <w:rFonts w:eastAsia="標楷體"/>
              </w:rPr>
            </w:pPr>
          </w:p>
        </w:tc>
        <w:tc>
          <w:tcPr>
            <w:tcW w:w="1440" w:type="dxa"/>
            <w:gridSpan w:val="3"/>
            <w:tcBorders>
              <w:bottom w:val="single" w:sz="8" w:space="0" w:color="auto"/>
            </w:tcBorders>
            <w:vAlign w:val="center"/>
          </w:tcPr>
          <w:p w:rsidR="00D736EF" w:rsidRDefault="00D736EF" w:rsidP="00401006">
            <w:pPr>
              <w:spacing w:line="240" w:lineRule="exact"/>
              <w:ind w:left="113" w:right="113"/>
              <w:jc w:val="distribute"/>
              <w:rPr>
                <w:rFonts w:ascii="標楷體" w:eastAsia="標楷體" w:hAnsi="標楷體"/>
              </w:rPr>
            </w:pPr>
            <w:r>
              <w:rPr>
                <w:rFonts w:ascii="標楷體" w:eastAsia="標楷體" w:hAnsi="標楷體" w:hint="eastAsia"/>
              </w:rPr>
              <w:t>金額</w:t>
            </w:r>
          </w:p>
        </w:tc>
        <w:tc>
          <w:tcPr>
            <w:tcW w:w="798" w:type="dxa"/>
            <w:gridSpan w:val="3"/>
            <w:tcBorders>
              <w:bottom w:val="single" w:sz="8" w:space="0" w:color="auto"/>
              <w:right w:val="nil"/>
            </w:tcBorders>
            <w:vAlign w:val="center"/>
          </w:tcPr>
          <w:p w:rsidR="00D736EF" w:rsidRDefault="00D736EF" w:rsidP="00401006">
            <w:pPr>
              <w:spacing w:line="240" w:lineRule="exact"/>
              <w:jc w:val="center"/>
              <w:rPr>
                <w:rFonts w:ascii="標楷體" w:eastAsia="標楷體" w:hAnsi="標楷體"/>
              </w:rPr>
            </w:pPr>
            <w:r w:rsidRPr="00E87AC2">
              <w:rPr>
                <w:rFonts w:ascii="標楷體" w:eastAsia="標楷體" w:hAnsi="標楷體" w:hint="eastAsia"/>
              </w:rPr>
              <w:t>％</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6,538,000</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7,419,983</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7,419,983</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881,983</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13.49</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27,811</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27,811</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27,811</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2,049,000</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2,903,172</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2,903,172</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854,172</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41.69</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公積轉列數</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4,489,000</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4,489,000</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4,489,000</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4,489,000</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7,288,983</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7,288,983</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2,799,983</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62.37</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44"/>
          <w:jc w:val="center"/>
        </w:trPr>
        <w:tc>
          <w:tcPr>
            <w:tcW w:w="2167" w:type="dxa"/>
            <w:gridSpan w:val="2"/>
            <w:tcBorders>
              <w:top w:val="nil"/>
              <w:left w:val="nil"/>
              <w:bottom w:val="nil"/>
            </w:tcBorders>
            <w:vAlign w:val="center"/>
          </w:tcPr>
          <w:p w:rsidR="00D736EF" w:rsidRDefault="00D736EF" w:rsidP="00401006">
            <w:pPr>
              <w:spacing w:line="240" w:lineRule="exact"/>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4,489,000</w:t>
            </w:r>
          </w:p>
        </w:tc>
        <w:tc>
          <w:tcPr>
            <w:tcW w:w="132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7,288,983</w:t>
            </w:r>
          </w:p>
        </w:tc>
        <w:tc>
          <w:tcPr>
            <w:tcW w:w="1351"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w:t>
            </w:r>
          </w:p>
        </w:tc>
        <w:tc>
          <w:tcPr>
            <w:tcW w:w="1409" w:type="dxa"/>
            <w:gridSpan w:val="2"/>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7,288,983</w:t>
            </w:r>
          </w:p>
        </w:tc>
        <w:tc>
          <w:tcPr>
            <w:tcW w:w="1440" w:type="dxa"/>
            <w:gridSpan w:val="3"/>
            <w:tcBorders>
              <w:top w:val="nil"/>
              <w:bottom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2,799,983</w:t>
            </w:r>
          </w:p>
        </w:tc>
        <w:tc>
          <w:tcPr>
            <w:tcW w:w="798" w:type="dxa"/>
            <w:gridSpan w:val="3"/>
            <w:tcBorders>
              <w:top w:val="nil"/>
              <w:bottom w:val="nil"/>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sz w:val="18"/>
                <w:szCs w:val="18"/>
              </w:rPr>
              <w:t>62.37</w:t>
            </w:r>
          </w:p>
        </w:tc>
      </w:tr>
      <w:tr w:rsidR="00D736EF" w:rsidRPr="00C346C9"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2"/>
          <w:wBefore w:w="119" w:type="dxa"/>
          <w:wAfter w:w="165" w:type="dxa"/>
          <w:cantSplit/>
          <w:trHeight w:val="1796"/>
          <w:jc w:val="center"/>
        </w:trPr>
        <w:tc>
          <w:tcPr>
            <w:tcW w:w="2167" w:type="dxa"/>
            <w:gridSpan w:val="2"/>
            <w:tcBorders>
              <w:top w:val="nil"/>
              <w:left w:val="nil"/>
              <w:bottom w:val="single" w:sz="8" w:space="0" w:color="auto"/>
            </w:tcBorders>
            <w:vAlign w:val="center"/>
          </w:tcPr>
          <w:p w:rsidR="00D736EF" w:rsidRDefault="00D736EF" w:rsidP="00401006">
            <w:pPr>
              <w:spacing w:line="240" w:lineRule="exact"/>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2"/>
            <w:tcBorders>
              <w:top w:val="nil"/>
              <w:bottom w:val="single" w:sz="8" w:space="0" w:color="auto"/>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2,049,000</w:t>
            </w:r>
          </w:p>
        </w:tc>
        <w:tc>
          <w:tcPr>
            <w:tcW w:w="1320" w:type="dxa"/>
            <w:gridSpan w:val="3"/>
            <w:tcBorders>
              <w:top w:val="nil"/>
              <w:bottom w:val="single" w:sz="8" w:space="0" w:color="auto"/>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131,000</w:t>
            </w:r>
          </w:p>
        </w:tc>
        <w:tc>
          <w:tcPr>
            <w:tcW w:w="1351" w:type="dxa"/>
            <w:gridSpan w:val="3"/>
            <w:tcBorders>
              <w:top w:val="nil"/>
              <w:bottom w:val="single" w:sz="8" w:space="0" w:color="auto"/>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w:t>
            </w:r>
          </w:p>
        </w:tc>
        <w:tc>
          <w:tcPr>
            <w:tcW w:w="1409" w:type="dxa"/>
            <w:gridSpan w:val="2"/>
            <w:tcBorders>
              <w:top w:val="nil"/>
              <w:bottom w:val="single" w:sz="8" w:space="0" w:color="auto"/>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131,000</w:t>
            </w:r>
          </w:p>
        </w:tc>
        <w:tc>
          <w:tcPr>
            <w:tcW w:w="1440" w:type="dxa"/>
            <w:gridSpan w:val="3"/>
            <w:tcBorders>
              <w:top w:val="nil"/>
              <w:bottom w:val="single" w:sz="8" w:space="0" w:color="auto"/>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- 1,918,000</w:t>
            </w:r>
          </w:p>
        </w:tc>
        <w:tc>
          <w:tcPr>
            <w:tcW w:w="798" w:type="dxa"/>
            <w:gridSpan w:val="3"/>
            <w:tcBorders>
              <w:top w:val="nil"/>
              <w:bottom w:val="single" w:sz="8" w:space="0" w:color="auto"/>
              <w:right w:val="nil"/>
            </w:tcBorders>
            <w:vAlign w:val="center"/>
          </w:tcPr>
          <w:p w:rsidR="00D736EF" w:rsidRPr="00C346C9" w:rsidRDefault="00D736EF" w:rsidP="00401006">
            <w:pPr>
              <w:spacing w:line="240" w:lineRule="exact"/>
              <w:jc w:val="right"/>
              <w:rPr>
                <w:rFonts w:ascii="新細明體" w:hAnsi="新細明體"/>
                <w:sz w:val="18"/>
                <w:szCs w:val="18"/>
              </w:rPr>
            </w:pPr>
            <w:r w:rsidRPr="00E4572B">
              <w:rPr>
                <w:rFonts w:ascii="新細明體" w:hAnsi="新細明體"/>
                <w:b/>
                <w:sz w:val="18"/>
                <w:szCs w:val="18"/>
              </w:rPr>
              <w:t>- 93.61</w:t>
            </w:r>
          </w:p>
        </w:tc>
      </w:tr>
      <w:tr w:rsidR="00D736EF" w:rsidTr="00C2464B">
        <w:tblPrEx>
          <w:jc w:val="center"/>
        </w:tblPrEx>
        <w:trPr>
          <w:gridBefore w:val="2"/>
          <w:gridAfter w:val="1"/>
          <w:wBefore w:w="134" w:type="dxa"/>
          <w:wAfter w:w="94" w:type="dxa"/>
          <w:tblHeader/>
          <w:jc w:val="center"/>
        </w:trPr>
        <w:tc>
          <w:tcPr>
            <w:tcW w:w="9981" w:type="dxa"/>
            <w:gridSpan w:val="18"/>
            <w:tcBorders>
              <w:bottom w:val="single" w:sz="8" w:space="0" w:color="auto"/>
            </w:tcBorders>
          </w:tcPr>
          <w:p w:rsidR="00D736EF" w:rsidRPr="00BD6C64" w:rsidRDefault="008F2F4F" w:rsidP="00C2464B">
            <w:pPr>
              <w:widowControl/>
              <w:tabs>
                <w:tab w:val="left" w:pos="205"/>
                <w:tab w:val="center" w:pos="4800"/>
              </w:tabs>
              <w:adjustRightInd w:val="0"/>
              <w:snapToGrid w:val="0"/>
              <w:ind w:left="-221"/>
              <w:jc w:val="center"/>
              <w:rPr>
                <w:rFonts w:ascii="標楷體" w:eastAsia="標楷體" w:hAnsi="標楷體"/>
                <w:b/>
                <w:sz w:val="32"/>
                <w:u w:val="single"/>
              </w:rPr>
            </w:pPr>
            <w:r>
              <w:lastRenderedPageBreak/>
              <w:br w:type="page"/>
            </w:r>
            <w:r w:rsidR="00D736EF" w:rsidRPr="00BD6C64">
              <w:rPr>
                <w:rFonts w:ascii="標楷體" w:eastAsia="標楷體" w:hAnsi="標楷體" w:cs="標楷體" w:hint="eastAsia"/>
                <w:b/>
                <w:color w:val="000000"/>
                <w:sz w:val="32"/>
                <w:u w:val="single" w:color="000000"/>
              </w:rPr>
              <w:t xml:space="preserve">　全民健康保險基金餘</w:t>
            </w:r>
            <w:proofErr w:type="gramStart"/>
            <w:r w:rsidR="00D736EF" w:rsidRPr="00BD6C64">
              <w:rPr>
                <w:rFonts w:ascii="標楷體" w:eastAsia="標楷體" w:hAnsi="標楷體" w:cs="標楷體" w:hint="eastAsia"/>
                <w:b/>
                <w:color w:val="000000"/>
                <w:sz w:val="32"/>
                <w:u w:val="single" w:color="000000"/>
              </w:rPr>
              <w:t>絀</w:t>
            </w:r>
            <w:proofErr w:type="gramEnd"/>
            <w:r w:rsidR="00D736EF" w:rsidRPr="00BD6C64">
              <w:rPr>
                <w:rFonts w:ascii="標楷體" w:eastAsia="標楷體" w:hAnsi="標楷體" w:cs="標楷體" w:hint="eastAsia"/>
                <w:b/>
                <w:color w:val="000000"/>
                <w:sz w:val="32"/>
                <w:u w:val="single" w:color="000000"/>
              </w:rPr>
              <w:t xml:space="preserve">審定後現金流量表　</w:t>
            </w:r>
          </w:p>
          <w:p w:rsidR="00D736EF" w:rsidRDefault="00D736EF" w:rsidP="00C2464B">
            <w:pPr>
              <w:tabs>
                <w:tab w:val="left" w:pos="3961"/>
                <w:tab w:val="left" w:pos="8520"/>
              </w:tabs>
              <w:snapToGrid w:val="0"/>
              <w:ind w:rightChars="19" w:right="46"/>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109</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380"/>
          <w:tblHeader/>
          <w:jc w:val="center"/>
        </w:trPr>
        <w:tc>
          <w:tcPr>
            <w:tcW w:w="4367" w:type="dxa"/>
            <w:gridSpan w:val="5"/>
            <w:vMerge w:val="restart"/>
            <w:tcBorders>
              <w:top w:val="single" w:sz="8" w:space="0" w:color="auto"/>
              <w:left w:val="nil"/>
              <w:bottom w:val="nil"/>
            </w:tcBorders>
            <w:vAlign w:val="center"/>
          </w:tcPr>
          <w:p w:rsidR="00D736EF" w:rsidRDefault="00D736EF" w:rsidP="00C2464B">
            <w:pPr>
              <w:ind w:left="113" w:right="-28"/>
              <w:jc w:val="distribute"/>
              <w:rPr>
                <w:rFonts w:eastAsia="標楷體"/>
                <w:spacing w:val="60"/>
              </w:rPr>
            </w:pPr>
            <w:r>
              <w:rPr>
                <w:rFonts w:eastAsia="標楷體" w:hint="eastAsia"/>
                <w:spacing w:val="60"/>
              </w:rPr>
              <w:t>項目</w:t>
            </w:r>
          </w:p>
        </w:tc>
        <w:tc>
          <w:tcPr>
            <w:tcW w:w="1692" w:type="dxa"/>
            <w:gridSpan w:val="3"/>
            <w:vMerge w:val="restart"/>
            <w:tcBorders>
              <w:top w:val="single" w:sz="8" w:space="0" w:color="auto"/>
              <w:bottom w:val="nil"/>
            </w:tcBorders>
            <w:vAlign w:val="center"/>
          </w:tcPr>
          <w:p w:rsidR="00447390" w:rsidRDefault="00D736EF" w:rsidP="002E6D39">
            <w:pPr>
              <w:ind w:left="113" w:right="-15"/>
              <w:jc w:val="distribute"/>
              <w:rPr>
                <w:rFonts w:eastAsia="標楷體"/>
                <w:spacing w:val="60"/>
              </w:rPr>
            </w:pPr>
            <w:r>
              <w:rPr>
                <w:rFonts w:eastAsia="標楷體" w:hint="eastAsia"/>
                <w:spacing w:val="60"/>
              </w:rPr>
              <w:t>預算數</w:t>
            </w:r>
          </w:p>
        </w:tc>
        <w:tc>
          <w:tcPr>
            <w:tcW w:w="1692" w:type="dxa"/>
            <w:gridSpan w:val="4"/>
            <w:vMerge w:val="restart"/>
            <w:tcBorders>
              <w:top w:val="single" w:sz="8" w:space="0" w:color="auto"/>
            </w:tcBorders>
            <w:vAlign w:val="center"/>
          </w:tcPr>
          <w:p w:rsidR="00D736EF" w:rsidRDefault="00D736EF" w:rsidP="002E6D39">
            <w:pPr>
              <w:ind w:left="113"/>
              <w:jc w:val="distribute"/>
              <w:rPr>
                <w:rFonts w:eastAsia="標楷體"/>
                <w:spacing w:val="60"/>
              </w:rPr>
            </w:pPr>
            <w:r>
              <w:rPr>
                <w:rFonts w:eastAsia="標楷體" w:hint="eastAsia"/>
                <w:spacing w:val="60"/>
              </w:rPr>
              <w:t>決算數</w:t>
            </w:r>
          </w:p>
        </w:tc>
        <w:tc>
          <w:tcPr>
            <w:tcW w:w="2230" w:type="dxa"/>
            <w:gridSpan w:val="6"/>
            <w:tcBorders>
              <w:top w:val="single" w:sz="8" w:space="0" w:color="auto"/>
              <w:bottom w:val="nil"/>
              <w:right w:val="nil"/>
            </w:tcBorders>
            <w:vAlign w:val="center"/>
          </w:tcPr>
          <w:p w:rsidR="00D736EF" w:rsidRDefault="00D736EF" w:rsidP="002B2EEC">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16"/>
          <w:tblHeader/>
          <w:jc w:val="center"/>
        </w:trPr>
        <w:tc>
          <w:tcPr>
            <w:tcW w:w="4367" w:type="dxa"/>
            <w:gridSpan w:val="5"/>
            <w:vMerge/>
            <w:tcBorders>
              <w:top w:val="nil"/>
              <w:left w:val="nil"/>
              <w:bottom w:val="single" w:sz="8" w:space="0" w:color="auto"/>
            </w:tcBorders>
            <w:vAlign w:val="center"/>
          </w:tcPr>
          <w:p w:rsidR="00D736EF" w:rsidRDefault="00D736EF" w:rsidP="002B2EEC">
            <w:pPr>
              <w:ind w:left="113" w:right="113"/>
              <w:jc w:val="distribute"/>
              <w:rPr>
                <w:rFonts w:eastAsia="標楷體"/>
                <w:spacing w:val="60"/>
              </w:rPr>
            </w:pPr>
          </w:p>
        </w:tc>
        <w:tc>
          <w:tcPr>
            <w:tcW w:w="1692" w:type="dxa"/>
            <w:gridSpan w:val="3"/>
            <w:vMerge/>
            <w:tcBorders>
              <w:top w:val="nil"/>
              <w:bottom w:val="single" w:sz="8" w:space="0" w:color="auto"/>
            </w:tcBorders>
            <w:vAlign w:val="center"/>
          </w:tcPr>
          <w:p w:rsidR="00D736EF" w:rsidRDefault="00D736EF" w:rsidP="002B2EEC">
            <w:pPr>
              <w:ind w:left="113" w:right="113"/>
              <w:jc w:val="distribute"/>
              <w:rPr>
                <w:rFonts w:eastAsia="標楷體"/>
                <w:spacing w:val="60"/>
              </w:rPr>
            </w:pPr>
          </w:p>
        </w:tc>
        <w:tc>
          <w:tcPr>
            <w:tcW w:w="1692" w:type="dxa"/>
            <w:gridSpan w:val="4"/>
            <w:vMerge/>
            <w:tcBorders>
              <w:bottom w:val="single" w:sz="8" w:space="0" w:color="auto"/>
            </w:tcBorders>
            <w:vAlign w:val="center"/>
          </w:tcPr>
          <w:p w:rsidR="00D736EF" w:rsidRDefault="00D736EF" w:rsidP="002B2EEC">
            <w:pPr>
              <w:ind w:left="113" w:right="113"/>
              <w:jc w:val="distribute"/>
              <w:rPr>
                <w:rFonts w:eastAsia="標楷體"/>
                <w:spacing w:val="60"/>
              </w:rPr>
            </w:pPr>
          </w:p>
        </w:tc>
        <w:tc>
          <w:tcPr>
            <w:tcW w:w="1470" w:type="dxa"/>
            <w:gridSpan w:val="4"/>
            <w:tcBorders>
              <w:top w:val="single" w:sz="4" w:space="0" w:color="auto"/>
              <w:bottom w:val="single" w:sz="8" w:space="0" w:color="auto"/>
            </w:tcBorders>
            <w:vAlign w:val="center"/>
          </w:tcPr>
          <w:p w:rsidR="00D736EF" w:rsidRDefault="00D736EF" w:rsidP="002B2EEC">
            <w:pPr>
              <w:ind w:left="113" w:right="113"/>
              <w:jc w:val="distribute"/>
              <w:rPr>
                <w:rFonts w:ascii="標楷體" w:eastAsia="標楷體" w:hAnsi="標楷體"/>
                <w:spacing w:val="60"/>
              </w:rPr>
            </w:pPr>
            <w:r>
              <w:rPr>
                <w:rFonts w:ascii="標楷體" w:eastAsia="標楷體" w:hAnsi="標楷體" w:hint="eastAsia"/>
                <w:spacing w:val="60"/>
              </w:rPr>
              <w:t>金額</w:t>
            </w:r>
          </w:p>
        </w:tc>
        <w:tc>
          <w:tcPr>
            <w:tcW w:w="760" w:type="dxa"/>
            <w:gridSpan w:val="2"/>
            <w:tcBorders>
              <w:top w:val="single" w:sz="4" w:space="0" w:color="auto"/>
              <w:bottom w:val="single" w:sz="8" w:space="0" w:color="auto"/>
              <w:right w:val="nil"/>
            </w:tcBorders>
            <w:vAlign w:val="center"/>
          </w:tcPr>
          <w:p w:rsidR="00D736EF" w:rsidRDefault="00D736EF" w:rsidP="002B2EEC">
            <w:pPr>
              <w:ind w:left="113" w:right="113"/>
              <w:jc w:val="distribute"/>
              <w:rPr>
                <w:rFonts w:ascii="標楷體" w:eastAsia="標楷體" w:hAnsi="標楷體"/>
                <w:spacing w:val="60"/>
              </w:rPr>
            </w:pPr>
            <w:r>
              <w:rPr>
                <w:rFonts w:ascii="標楷體" w:eastAsia="標楷體" w:hAnsi="標楷體" w:hint="eastAsia"/>
                <w:spacing w:val="60"/>
              </w:rPr>
              <w:t>％</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526833">
            <w:pPr>
              <w:ind w:rightChars="23" w:right="55"/>
              <w:jc w:val="distribute"/>
              <w:rPr>
                <w:rFonts w:ascii="標楷體" w:eastAsia="標楷體" w:hAnsi="標楷體"/>
                <w:w w:val="90"/>
                <w:kern w:val="0"/>
              </w:rPr>
            </w:pPr>
            <w:r w:rsidRPr="00412AFD">
              <w:rPr>
                <w:rFonts w:ascii="標楷體" w:eastAsia="標楷體" w:hAnsi="標楷體" w:hint="eastAsia"/>
                <w:b/>
                <w:w w:val="90"/>
                <w:kern w:val="0"/>
              </w:rPr>
              <w:t>業務活動之現金流量</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本期賸餘（短</w:t>
            </w:r>
            <w:proofErr w:type="gramStart"/>
            <w:r w:rsidRPr="00412AFD">
              <w:rPr>
                <w:rFonts w:ascii="標楷體" w:eastAsia="標楷體" w:hAnsi="標楷體" w:hint="eastAsia"/>
                <w:w w:val="90"/>
                <w:kern w:val="0"/>
              </w:rPr>
              <w:t>絀</w:t>
            </w:r>
            <w:proofErr w:type="gramEnd"/>
            <w:r w:rsidRPr="00412AFD">
              <w:rPr>
                <w:rFonts w:ascii="標楷體" w:eastAsia="標楷體" w:hAnsi="標楷體" w:hint="eastAsia"/>
                <w:w w:val="90"/>
                <w:kern w:val="0"/>
              </w:rPr>
              <w:t>）</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27,811</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27,811</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利息股利之調整</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- 1,031,465,000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- 1,054,267,532</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- 22,802,532</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2.21</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未計利息股利之本期賸餘（短</w:t>
            </w:r>
            <w:proofErr w:type="gramStart"/>
            <w:r w:rsidRPr="00412AFD">
              <w:rPr>
                <w:rFonts w:ascii="標楷體" w:eastAsia="標楷體" w:hAnsi="標楷體" w:hint="eastAsia"/>
                <w:spacing w:val="-24"/>
                <w:w w:val="90"/>
                <w:kern w:val="0"/>
              </w:rPr>
              <w:t>絀</w:t>
            </w:r>
            <w:proofErr w:type="gramEnd"/>
            <w:r w:rsidRPr="00412AFD">
              <w:rPr>
                <w:rFonts w:ascii="標楷體" w:eastAsia="標楷體" w:hAnsi="標楷體" w:hint="eastAsia"/>
                <w:spacing w:val="-24"/>
                <w:w w:val="90"/>
                <w:kern w:val="0"/>
              </w:rPr>
              <w:t>）</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- 1,031,465,000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- 1,054,239,721</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- 22,774,721</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2.21</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調整項目</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- 46,666,055,000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- 49,111,611,294</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- 2,445,556,294</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5.24</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spacing w:val="-24"/>
                <w:w w:val="90"/>
                <w:kern w:val="0"/>
              </w:rPr>
              <w:t>未計利息股利之現金流入（流出）</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- 47,697,520,000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- 50,165,851,015</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- 2,468,331,015</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5.17</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收取利息</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1,098,277,000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1,129,273,399</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30,996,399</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2.82</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業務活動之淨現金流入（流出）</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- 46,599,243,000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- 49,036,577,616</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- 2,437,334,616</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5.23</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EB48AF">
            <w:pPr>
              <w:jc w:val="distribute"/>
              <w:rPr>
                <w:rFonts w:ascii="標楷體" w:eastAsia="標楷體" w:hAnsi="標楷體"/>
                <w:w w:val="90"/>
                <w:kern w:val="0"/>
              </w:rPr>
            </w:pPr>
            <w:r w:rsidRPr="00412AFD">
              <w:rPr>
                <w:rFonts w:ascii="標楷體" w:eastAsia="標楷體" w:hAnsi="標楷體" w:hint="eastAsia"/>
                <w:b/>
                <w:w w:val="90"/>
                <w:kern w:val="0"/>
              </w:rPr>
              <w:t>投資活動之現金流量</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E6D39">
            <w:pPr>
              <w:ind w:leftChars="200" w:left="480" w:rightChars="17" w:right="41"/>
              <w:jc w:val="distribute"/>
              <w:rPr>
                <w:rFonts w:ascii="標楷體" w:eastAsia="標楷體" w:hAnsi="標楷體"/>
                <w:w w:val="90"/>
                <w:kern w:val="0"/>
              </w:rPr>
            </w:pPr>
            <w:r w:rsidRPr="00412AFD">
              <w:rPr>
                <w:rFonts w:ascii="標楷體" w:eastAsia="標楷體" w:hAnsi="標楷體" w:hint="eastAsia"/>
                <w:spacing w:val="-24"/>
                <w:w w:val="90"/>
                <w:kern w:val="0"/>
              </w:rPr>
              <w:t>減少流動金融資產及短</w:t>
            </w:r>
            <w:proofErr w:type="gramStart"/>
            <w:r w:rsidRPr="00412AFD">
              <w:rPr>
                <w:rFonts w:ascii="標楷體" w:eastAsia="標楷體" w:hAnsi="標楷體" w:hint="eastAsia"/>
                <w:spacing w:val="-24"/>
                <w:w w:val="90"/>
                <w:kern w:val="0"/>
              </w:rPr>
              <w:t>期貸</w:t>
            </w:r>
            <w:proofErr w:type="gramEnd"/>
            <w:r w:rsidRPr="00412AFD">
              <w:rPr>
                <w:rFonts w:ascii="標楷體" w:eastAsia="標楷體" w:hAnsi="標楷體" w:hint="eastAsia"/>
                <w:spacing w:val="-24"/>
                <w:w w:val="90"/>
                <w:kern w:val="0"/>
              </w:rPr>
              <w:t>墊款</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3,000,000,000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5,228,761,300</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2,228,761,300</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74.29</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E6D39">
            <w:pPr>
              <w:ind w:leftChars="200" w:left="480" w:rightChars="17" w:right="41"/>
              <w:jc w:val="distribute"/>
              <w:rPr>
                <w:rFonts w:ascii="標楷體" w:eastAsia="標楷體" w:hAnsi="標楷體"/>
                <w:w w:val="90"/>
                <w:kern w:val="0"/>
              </w:rPr>
            </w:pPr>
            <w:r w:rsidRPr="00412AFD">
              <w:rPr>
                <w:rFonts w:ascii="標楷體" w:eastAsia="標楷體" w:hAnsi="標楷體" w:hint="eastAsia"/>
                <w:spacing w:val="-24"/>
                <w:w w:val="90"/>
                <w:kern w:val="0"/>
              </w:rPr>
              <w:t>減少投資、長期應收款、貸墊款及準備金</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48,981,462,000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46,441,181,130</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- 2,540,280,870</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- 5.19</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E6D39">
            <w:pPr>
              <w:ind w:leftChars="200" w:left="480" w:rightChars="17" w:right="41"/>
              <w:jc w:val="distribute"/>
              <w:rPr>
                <w:rFonts w:ascii="標楷體" w:eastAsia="標楷體" w:hAnsi="標楷體"/>
                <w:w w:val="90"/>
                <w:kern w:val="0"/>
              </w:rPr>
            </w:pPr>
            <w:r w:rsidRPr="00412AFD">
              <w:rPr>
                <w:rFonts w:ascii="標楷體" w:eastAsia="標楷體" w:hAnsi="標楷體" w:hint="eastAsia"/>
                <w:spacing w:val="-24"/>
                <w:w w:val="90"/>
                <w:kern w:val="0"/>
              </w:rPr>
              <w:t>增加不動產、廠房及設備、礦產資源</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- 60,014,000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- 59,565,907</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448,093</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- 0.75</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增加無形資產及其他資產</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- 118,851,000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- 119,700,404</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- 849,404</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0.71</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投資活動之淨現金流入（流出）</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51,802,597,000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51,490,676,119</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- 311,920,881</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- 0.60</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jc w:val="distribute"/>
              <w:rPr>
                <w:rFonts w:ascii="標楷體" w:eastAsia="標楷體" w:hAnsi="標楷體"/>
                <w:w w:val="90"/>
                <w:kern w:val="0"/>
              </w:rPr>
            </w:pPr>
            <w:r w:rsidRPr="00412AFD">
              <w:rPr>
                <w:rFonts w:ascii="標楷體" w:eastAsia="標楷體" w:hAnsi="標楷體" w:hint="eastAsia"/>
                <w:b/>
                <w:w w:val="90"/>
                <w:kern w:val="0"/>
              </w:rPr>
              <w:t>籌資活動之現金流量</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EB48AF">
            <w:pPr>
              <w:ind w:leftChars="200" w:left="480" w:rightChars="5" w:right="12"/>
              <w:jc w:val="distribute"/>
              <w:rPr>
                <w:rFonts w:ascii="標楷體" w:eastAsia="標楷體" w:hAnsi="標楷體"/>
                <w:w w:val="90"/>
                <w:kern w:val="0"/>
              </w:rPr>
            </w:pPr>
            <w:r w:rsidRPr="00412AFD">
              <w:rPr>
                <w:rFonts w:ascii="標楷體" w:eastAsia="標楷體" w:hAnsi="標楷體" w:hint="eastAsia"/>
                <w:spacing w:val="-24"/>
                <w:w w:val="90"/>
                <w:kern w:val="0"/>
              </w:rPr>
              <w:t>增加短期債務、流動金融負債及其他負債</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591,000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68,930,463</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68,339,463</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11,563.36</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減少基金及公積</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- 75,511,000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- 75,511,280</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- 280</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0.00</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200" w:left="480"/>
              <w:jc w:val="distribute"/>
              <w:rPr>
                <w:rFonts w:ascii="標楷體" w:eastAsia="標楷體" w:hAnsi="標楷體"/>
                <w:w w:val="90"/>
                <w:kern w:val="0"/>
              </w:rPr>
            </w:pPr>
            <w:r w:rsidRPr="00412AFD">
              <w:rPr>
                <w:rFonts w:ascii="標楷體" w:eastAsia="標楷體" w:hAnsi="標楷體" w:hint="eastAsia"/>
                <w:w w:val="90"/>
                <w:kern w:val="0"/>
              </w:rPr>
              <w:t>賸餘分配款</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- 4,489,000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- 7,288,983</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- 2,799,983</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kern w:val="0"/>
                <w:sz w:val="18"/>
              </w:rPr>
              <w:t>62.37</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ind w:leftChars="100" w:left="240"/>
              <w:jc w:val="distribute"/>
              <w:rPr>
                <w:rFonts w:ascii="標楷體" w:eastAsia="標楷體" w:hAnsi="標楷體"/>
                <w:w w:val="90"/>
                <w:kern w:val="0"/>
              </w:rPr>
            </w:pPr>
            <w:r w:rsidRPr="00412AFD">
              <w:rPr>
                <w:rFonts w:ascii="標楷體" w:eastAsia="標楷體" w:hAnsi="標楷體" w:hint="eastAsia"/>
                <w:b/>
                <w:spacing w:val="-24"/>
                <w:w w:val="90"/>
                <w:kern w:val="0"/>
              </w:rPr>
              <w:t>籌資活動之淨現金流入（流出）</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- 79,409,000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- 13,869,800</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65,539,200</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- 82.53</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2B2EEC">
            <w:pPr>
              <w:jc w:val="distribute"/>
              <w:rPr>
                <w:rFonts w:ascii="標楷體" w:eastAsia="標楷體" w:hAnsi="標楷體"/>
                <w:w w:val="90"/>
                <w:kern w:val="0"/>
              </w:rPr>
            </w:pPr>
            <w:r w:rsidRPr="00412AFD">
              <w:rPr>
                <w:rFonts w:ascii="標楷體" w:eastAsia="標楷體" w:hAnsi="標楷體" w:hint="eastAsia"/>
                <w:b/>
                <w:spacing w:val="-24"/>
                <w:w w:val="90"/>
                <w:kern w:val="0"/>
              </w:rPr>
              <w:t>現金及約當現金之淨增（淨減）</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5,123,945,000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2,440,228,703</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- 2,683,716,297</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- 52.38</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524"/>
          <w:jc w:val="center"/>
        </w:trPr>
        <w:tc>
          <w:tcPr>
            <w:tcW w:w="4367" w:type="dxa"/>
            <w:gridSpan w:val="5"/>
            <w:tcBorders>
              <w:top w:val="nil"/>
              <w:left w:val="nil"/>
              <w:bottom w:val="nil"/>
            </w:tcBorders>
            <w:vAlign w:val="center"/>
          </w:tcPr>
          <w:p w:rsidR="00D736EF" w:rsidRDefault="00D736EF" w:rsidP="00EB48AF">
            <w:pPr>
              <w:ind w:rightChars="17" w:right="41"/>
              <w:jc w:val="distribute"/>
              <w:rPr>
                <w:rFonts w:ascii="標楷體" w:eastAsia="標楷體" w:hAnsi="標楷體"/>
                <w:w w:val="90"/>
                <w:kern w:val="0"/>
              </w:rPr>
            </w:pPr>
            <w:r w:rsidRPr="00412AFD">
              <w:rPr>
                <w:rFonts w:ascii="標楷體" w:eastAsia="標楷體" w:hAnsi="標楷體" w:hint="eastAsia"/>
                <w:b/>
                <w:w w:val="90"/>
                <w:kern w:val="0"/>
              </w:rPr>
              <w:t>期初現金及約當現金</w:t>
            </w:r>
          </w:p>
        </w:tc>
        <w:tc>
          <w:tcPr>
            <w:tcW w:w="1692" w:type="dxa"/>
            <w:gridSpan w:val="3"/>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19,682,498,000</w:t>
            </w:r>
          </w:p>
        </w:tc>
        <w:tc>
          <w:tcPr>
            <w:tcW w:w="1692"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9,941,812,823</w:t>
            </w:r>
          </w:p>
        </w:tc>
        <w:tc>
          <w:tcPr>
            <w:tcW w:w="1470" w:type="dxa"/>
            <w:gridSpan w:val="4"/>
            <w:tcBorders>
              <w:top w:val="nil"/>
              <w:bottom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- 9,740,685,177</w:t>
            </w:r>
          </w:p>
        </w:tc>
        <w:tc>
          <w:tcPr>
            <w:tcW w:w="760" w:type="dxa"/>
            <w:gridSpan w:val="2"/>
            <w:tcBorders>
              <w:top w:val="nil"/>
              <w:bottom w:val="nil"/>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- 49.49</w:t>
            </w:r>
          </w:p>
        </w:tc>
      </w:tr>
      <w:tr w:rsidR="00D736EF" w:rsidTr="00C2464B">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2"/>
          <w:gridAfter w:val="1"/>
          <w:wBefore w:w="134" w:type="dxa"/>
          <w:wAfter w:w="94" w:type="dxa"/>
          <w:cantSplit/>
          <w:trHeight w:val="454"/>
          <w:jc w:val="center"/>
        </w:trPr>
        <w:tc>
          <w:tcPr>
            <w:tcW w:w="4367" w:type="dxa"/>
            <w:gridSpan w:val="5"/>
            <w:tcBorders>
              <w:top w:val="nil"/>
              <w:left w:val="nil"/>
              <w:bottom w:val="single" w:sz="8" w:space="0" w:color="auto"/>
            </w:tcBorders>
            <w:vAlign w:val="center"/>
          </w:tcPr>
          <w:p w:rsidR="00D736EF" w:rsidRDefault="00D736EF" w:rsidP="00EB48AF">
            <w:pPr>
              <w:ind w:rightChars="17" w:right="41"/>
              <w:jc w:val="distribute"/>
              <w:rPr>
                <w:rFonts w:ascii="標楷體" w:eastAsia="標楷體" w:hAnsi="標楷體"/>
                <w:w w:val="90"/>
                <w:kern w:val="0"/>
              </w:rPr>
            </w:pPr>
            <w:r w:rsidRPr="00412AFD">
              <w:rPr>
                <w:rFonts w:ascii="標楷體" w:eastAsia="標楷體" w:hAnsi="標楷體" w:hint="eastAsia"/>
                <w:b/>
                <w:w w:val="90"/>
                <w:kern w:val="0"/>
              </w:rPr>
              <w:t>期末現金及約當現金</w:t>
            </w:r>
          </w:p>
        </w:tc>
        <w:tc>
          <w:tcPr>
            <w:tcW w:w="1692" w:type="dxa"/>
            <w:gridSpan w:val="3"/>
            <w:tcBorders>
              <w:top w:val="nil"/>
              <w:bottom w:val="single" w:sz="8" w:space="0" w:color="auto"/>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24,806,443,000</w:t>
            </w:r>
          </w:p>
        </w:tc>
        <w:tc>
          <w:tcPr>
            <w:tcW w:w="1692" w:type="dxa"/>
            <w:gridSpan w:val="4"/>
            <w:tcBorders>
              <w:top w:val="nil"/>
              <w:bottom w:val="single" w:sz="8" w:space="0" w:color="auto"/>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12,382,041,526</w:t>
            </w:r>
          </w:p>
        </w:tc>
        <w:tc>
          <w:tcPr>
            <w:tcW w:w="1470" w:type="dxa"/>
            <w:gridSpan w:val="4"/>
            <w:tcBorders>
              <w:top w:val="nil"/>
              <w:bottom w:val="single" w:sz="8" w:space="0" w:color="auto"/>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- 12,424,401,474</w:t>
            </w:r>
          </w:p>
        </w:tc>
        <w:tc>
          <w:tcPr>
            <w:tcW w:w="760" w:type="dxa"/>
            <w:gridSpan w:val="2"/>
            <w:tcBorders>
              <w:top w:val="nil"/>
              <w:bottom w:val="single" w:sz="8" w:space="0" w:color="auto"/>
              <w:right w:val="nil"/>
            </w:tcBorders>
            <w:vAlign w:val="center"/>
          </w:tcPr>
          <w:p w:rsidR="00D736EF" w:rsidRDefault="00D736EF" w:rsidP="002B2EEC">
            <w:pPr>
              <w:autoSpaceDE w:val="0"/>
              <w:autoSpaceDN w:val="0"/>
              <w:adjustRightInd w:val="0"/>
              <w:jc w:val="right"/>
              <w:rPr>
                <w:rFonts w:ascii="新細明體" w:hAnsi="新細明體"/>
                <w:kern w:val="0"/>
                <w:sz w:val="18"/>
              </w:rPr>
            </w:pPr>
            <w:r w:rsidRPr="00412AFD">
              <w:rPr>
                <w:rFonts w:ascii="新細明體" w:hAnsi="新細明體"/>
                <w:b/>
                <w:kern w:val="0"/>
                <w:sz w:val="18"/>
              </w:rPr>
              <w:t>- 50.09</w:t>
            </w:r>
          </w:p>
        </w:tc>
      </w:tr>
    </w:tbl>
    <w:p w:rsidR="00303B92" w:rsidRPr="00AD3BAA" w:rsidRDefault="00303B92" w:rsidP="00B974E6">
      <w:pPr>
        <w:tabs>
          <w:tab w:val="left" w:pos="408"/>
        </w:tabs>
        <w:adjustRightInd w:val="0"/>
        <w:snapToGrid w:val="0"/>
        <w:spacing w:line="0" w:lineRule="atLeast"/>
        <w:ind w:left="787" w:hangingChars="437" w:hanging="787"/>
        <w:rPr>
          <w:rFonts w:ascii="標楷體" w:eastAsia="標楷體" w:hAnsi="標楷體"/>
          <w:sz w:val="18"/>
          <w:szCs w:val="18"/>
        </w:rPr>
      </w:pPr>
      <w:proofErr w:type="gramStart"/>
      <w:r w:rsidRPr="00AD3BAA">
        <w:rPr>
          <w:rFonts w:ascii="標楷體" w:eastAsia="標楷體" w:hAnsi="標楷體" w:hint="eastAsia"/>
          <w:sz w:val="18"/>
          <w:szCs w:val="18"/>
        </w:rPr>
        <w:t>註</w:t>
      </w:r>
      <w:proofErr w:type="gramEnd"/>
      <w:r w:rsidRPr="00AD3BAA">
        <w:rPr>
          <w:rFonts w:ascii="標楷體" w:eastAsia="標楷體" w:hAnsi="標楷體" w:hint="eastAsia"/>
          <w:sz w:val="18"/>
          <w:szCs w:val="18"/>
        </w:rPr>
        <w:t>：1.本表係</w:t>
      </w:r>
      <w:proofErr w:type="gramStart"/>
      <w:r w:rsidRPr="00AD3BAA">
        <w:rPr>
          <w:rFonts w:ascii="標楷體" w:eastAsia="標楷體" w:hAnsi="標楷體" w:hint="eastAsia"/>
          <w:sz w:val="18"/>
          <w:szCs w:val="18"/>
        </w:rPr>
        <w:t>採</w:t>
      </w:r>
      <w:proofErr w:type="gramEnd"/>
      <w:r w:rsidRPr="00AD3BAA">
        <w:rPr>
          <w:rFonts w:ascii="標楷體" w:eastAsia="標楷體" w:hAnsi="標楷體" w:hint="eastAsia"/>
          <w:sz w:val="18"/>
          <w:szCs w:val="18"/>
        </w:rPr>
        <w:t>現金及約當現金基礎，包括現金及自投資日起3個月內到期或清償之債權證券。</w:t>
      </w:r>
    </w:p>
    <w:p w:rsidR="00303B92" w:rsidRPr="00AD3BAA" w:rsidRDefault="00303B92" w:rsidP="00B974E6">
      <w:pPr>
        <w:adjustRightInd w:val="0"/>
        <w:snapToGrid w:val="0"/>
        <w:spacing w:line="0" w:lineRule="atLeast"/>
        <w:ind w:leftChars="152" w:left="552" w:rightChars="-25" w:right="-60" w:hangingChars="104" w:hanging="187"/>
        <w:jc w:val="both"/>
        <w:rPr>
          <w:rFonts w:ascii="標楷體" w:eastAsia="標楷體" w:hAnsi="標楷體"/>
          <w:sz w:val="18"/>
          <w:szCs w:val="18"/>
        </w:rPr>
      </w:pPr>
      <w:r w:rsidRPr="00AD3BAA">
        <w:rPr>
          <w:rFonts w:ascii="標楷體" w:eastAsia="標楷體" w:hAnsi="標楷體" w:hint="eastAsia"/>
          <w:sz w:val="18"/>
          <w:szCs w:val="18"/>
        </w:rPr>
        <w:t>2.</w:t>
      </w:r>
      <w:bookmarkStart w:id="0" w:name="_GoBack"/>
      <w:r w:rsidRPr="00AD3BAA">
        <w:rPr>
          <w:rFonts w:ascii="標楷體" w:eastAsia="標楷體" w:hAnsi="標楷體" w:hint="eastAsia"/>
          <w:sz w:val="18"/>
          <w:szCs w:val="18"/>
        </w:rPr>
        <w:t>本表「調整項目」欄所列，包括提存呆帳、</w:t>
      </w:r>
      <w:proofErr w:type="gramStart"/>
      <w:r w:rsidRPr="00AD3BAA">
        <w:rPr>
          <w:rFonts w:ascii="標楷體" w:eastAsia="標楷體" w:hAnsi="標楷體" w:hint="eastAsia"/>
          <w:sz w:val="18"/>
          <w:szCs w:val="18"/>
        </w:rPr>
        <w:t>醫療折</w:t>
      </w:r>
      <w:proofErr w:type="gramEnd"/>
      <w:r w:rsidRPr="00AD3BAA">
        <w:rPr>
          <w:rFonts w:ascii="標楷體" w:eastAsia="標楷體" w:hAnsi="標楷體" w:hint="eastAsia"/>
          <w:sz w:val="18"/>
          <w:szCs w:val="18"/>
        </w:rPr>
        <w:t>讓及評價短</w:t>
      </w:r>
      <w:proofErr w:type="gramStart"/>
      <w:r w:rsidRPr="00AD3BAA">
        <w:rPr>
          <w:rFonts w:ascii="標楷體" w:eastAsia="標楷體" w:hAnsi="標楷體" w:hint="eastAsia"/>
          <w:sz w:val="18"/>
          <w:szCs w:val="18"/>
        </w:rPr>
        <w:t>絀</w:t>
      </w:r>
      <w:proofErr w:type="gramEnd"/>
      <w:r w:rsidRPr="00AD3BAA">
        <w:rPr>
          <w:rFonts w:ascii="標楷體" w:eastAsia="標楷體" w:hAnsi="標楷體" w:hint="eastAsia"/>
          <w:sz w:val="18"/>
          <w:szCs w:val="18"/>
        </w:rPr>
        <w:t>、提存各項準備、折舊、減損及折耗、攤銷、兌換短</w:t>
      </w:r>
      <w:proofErr w:type="gramStart"/>
      <w:r w:rsidRPr="00AD3BAA">
        <w:rPr>
          <w:rFonts w:ascii="標楷體" w:eastAsia="標楷體" w:hAnsi="標楷體" w:hint="eastAsia"/>
          <w:sz w:val="18"/>
          <w:szCs w:val="18"/>
        </w:rPr>
        <w:t>絀</w:t>
      </w:r>
      <w:proofErr w:type="gramEnd"/>
      <w:r w:rsidRPr="00AD3BAA">
        <w:rPr>
          <w:rFonts w:ascii="標楷體" w:eastAsia="標楷體" w:hAnsi="標楷體" w:hint="eastAsia"/>
          <w:sz w:val="18"/>
          <w:szCs w:val="18"/>
        </w:rPr>
        <w:t>（</w:t>
      </w:r>
      <w:bookmarkEnd w:id="0"/>
      <w:r w:rsidRPr="00AD3BAA">
        <w:rPr>
          <w:rFonts w:ascii="標楷體" w:eastAsia="標楷體" w:hAnsi="標楷體" w:hint="eastAsia"/>
          <w:sz w:val="18"/>
          <w:szCs w:val="18"/>
        </w:rPr>
        <w:t>賸餘）、處理資產短</w:t>
      </w:r>
      <w:proofErr w:type="gramStart"/>
      <w:r w:rsidRPr="00AD3BAA">
        <w:rPr>
          <w:rFonts w:ascii="標楷體" w:eastAsia="標楷體" w:hAnsi="標楷體" w:hint="eastAsia"/>
          <w:sz w:val="18"/>
          <w:szCs w:val="18"/>
        </w:rPr>
        <w:t>絀</w:t>
      </w:r>
      <w:proofErr w:type="gramEnd"/>
      <w:r w:rsidRPr="00AD3BAA">
        <w:rPr>
          <w:rFonts w:ascii="標楷體" w:eastAsia="標楷體" w:hAnsi="標楷體" w:hint="eastAsia"/>
          <w:sz w:val="18"/>
          <w:szCs w:val="18"/>
        </w:rPr>
        <w:t>（賸餘）、債務整理短</w:t>
      </w:r>
      <w:proofErr w:type="gramStart"/>
      <w:r w:rsidRPr="00AD3BAA">
        <w:rPr>
          <w:rFonts w:ascii="標楷體" w:eastAsia="標楷體" w:hAnsi="標楷體" w:hint="eastAsia"/>
          <w:sz w:val="18"/>
          <w:szCs w:val="18"/>
        </w:rPr>
        <w:t>絀</w:t>
      </w:r>
      <w:proofErr w:type="gramEnd"/>
      <w:r w:rsidRPr="00AD3BAA">
        <w:rPr>
          <w:rFonts w:ascii="標楷體" w:eastAsia="標楷體" w:hAnsi="標楷體" w:hint="eastAsia"/>
          <w:sz w:val="18"/>
          <w:szCs w:val="18"/>
        </w:rPr>
        <w:t>（賸餘）、其他、</w:t>
      </w:r>
      <w:proofErr w:type="gramStart"/>
      <w:r w:rsidRPr="00AD3BAA">
        <w:rPr>
          <w:rFonts w:ascii="標楷體" w:eastAsia="標楷體" w:hAnsi="標楷體" w:hint="eastAsia"/>
          <w:sz w:val="18"/>
          <w:szCs w:val="18"/>
        </w:rPr>
        <w:t>流動資產淨減</w:t>
      </w:r>
      <w:proofErr w:type="gramEnd"/>
      <w:r w:rsidRPr="00AD3BAA">
        <w:rPr>
          <w:rFonts w:ascii="標楷體" w:eastAsia="標楷體" w:hAnsi="標楷體" w:hint="eastAsia"/>
          <w:sz w:val="18"/>
          <w:szCs w:val="18"/>
        </w:rPr>
        <w:t>（淨增）及流動負債淨增（淨減）。</w:t>
      </w:r>
    </w:p>
    <w:tbl>
      <w:tblPr>
        <w:tblW w:w="9926" w:type="dxa"/>
        <w:jc w:val="center"/>
        <w:tblInd w:w="-364" w:type="dxa"/>
        <w:tblLayout w:type="fixed"/>
        <w:tblCellMar>
          <w:left w:w="28" w:type="dxa"/>
          <w:right w:w="28" w:type="dxa"/>
        </w:tblCellMar>
        <w:tblLook w:val="0000" w:firstRow="0" w:lastRow="0" w:firstColumn="0" w:lastColumn="0" w:noHBand="0" w:noVBand="0"/>
      </w:tblPr>
      <w:tblGrid>
        <w:gridCol w:w="2989"/>
        <w:gridCol w:w="1779"/>
        <w:gridCol w:w="657"/>
        <w:gridCol w:w="1764"/>
        <w:gridCol w:w="672"/>
        <w:gridCol w:w="1414"/>
        <w:gridCol w:w="651"/>
      </w:tblGrid>
      <w:tr w:rsidR="00D736EF" w:rsidTr="00D978A5">
        <w:trPr>
          <w:tblHeader/>
          <w:jc w:val="center"/>
        </w:trPr>
        <w:tc>
          <w:tcPr>
            <w:tcW w:w="9926" w:type="dxa"/>
            <w:gridSpan w:val="7"/>
            <w:tcBorders>
              <w:bottom w:val="single" w:sz="8" w:space="0" w:color="auto"/>
            </w:tcBorders>
          </w:tcPr>
          <w:p w:rsidR="00D736EF" w:rsidRPr="00BD6C64" w:rsidRDefault="008F2F4F" w:rsidP="00C2464B">
            <w:pPr>
              <w:widowControl/>
              <w:tabs>
                <w:tab w:val="left" w:pos="540"/>
                <w:tab w:val="center" w:pos="4800"/>
              </w:tabs>
              <w:adjustRightInd w:val="0"/>
              <w:snapToGrid w:val="0"/>
              <w:ind w:left="-284"/>
              <w:jc w:val="center"/>
              <w:rPr>
                <w:rFonts w:ascii="標楷體" w:eastAsia="標楷體" w:hAnsi="標楷體"/>
                <w:b/>
                <w:sz w:val="32"/>
                <w:u w:val="single"/>
              </w:rPr>
            </w:pPr>
            <w:r>
              <w:lastRenderedPageBreak/>
              <w:br w:type="page"/>
            </w:r>
            <w:r w:rsidR="00D736EF" w:rsidRPr="00BD6C64">
              <w:rPr>
                <w:rFonts w:ascii="標楷體" w:eastAsia="標楷體" w:hAnsi="標楷體" w:cs="標楷體" w:hint="eastAsia"/>
                <w:b/>
                <w:color w:val="000000"/>
                <w:sz w:val="32"/>
                <w:u w:val="single" w:color="000000"/>
              </w:rPr>
              <w:t xml:space="preserve">　</w:t>
            </w:r>
            <w:r w:rsidR="00D736EF" w:rsidRPr="00BD6C64">
              <w:rPr>
                <w:rFonts w:ascii="標楷體" w:eastAsia="標楷體" w:hAnsi="標楷體" w:cs="標楷體"/>
                <w:b/>
                <w:color w:val="000000"/>
                <w:sz w:val="32"/>
                <w:u w:val="single" w:color="000000"/>
              </w:rPr>
              <w:t>全民健康保險基金</w:t>
            </w:r>
            <w:r w:rsidR="00D736EF" w:rsidRPr="00BD6C64">
              <w:rPr>
                <w:rFonts w:ascii="標楷體" w:eastAsia="標楷體" w:hAnsi="標楷體" w:cs="標楷體" w:hint="eastAsia"/>
                <w:b/>
                <w:color w:val="000000"/>
                <w:sz w:val="32"/>
                <w:u w:val="single" w:color="000000"/>
              </w:rPr>
              <w:t>餘</w:t>
            </w:r>
            <w:proofErr w:type="gramStart"/>
            <w:r w:rsidR="00D736EF" w:rsidRPr="00BD6C64">
              <w:rPr>
                <w:rFonts w:ascii="標楷體" w:eastAsia="標楷體" w:hAnsi="標楷體" w:cs="標楷體" w:hint="eastAsia"/>
                <w:b/>
                <w:color w:val="000000"/>
                <w:sz w:val="32"/>
                <w:u w:val="single" w:color="000000"/>
              </w:rPr>
              <w:t>絀</w:t>
            </w:r>
            <w:proofErr w:type="gramEnd"/>
            <w:r w:rsidR="00D736EF" w:rsidRPr="00BD6C64">
              <w:rPr>
                <w:rFonts w:ascii="標楷體" w:eastAsia="標楷體" w:hAnsi="標楷體" w:cs="標楷體" w:hint="eastAsia"/>
                <w:b/>
                <w:color w:val="000000"/>
                <w:sz w:val="32"/>
                <w:u w:val="single" w:color="000000"/>
              </w:rPr>
              <w:t xml:space="preserve">審定後平衡表　</w:t>
            </w:r>
          </w:p>
          <w:p w:rsidR="00D736EF" w:rsidRDefault="00D736EF" w:rsidP="00C2464B">
            <w:pPr>
              <w:tabs>
                <w:tab w:val="left" w:pos="3375"/>
                <w:tab w:val="left" w:pos="8520"/>
              </w:tabs>
              <w:snapToGrid w:val="0"/>
              <w:ind w:rightChars="12" w:right="29"/>
              <w:rPr>
                <w:rFonts w:ascii="標楷體" w:eastAsia="標楷體" w:hAnsi="標楷體"/>
                <w:b/>
                <w:sz w:val="32"/>
                <w:u w:val="single"/>
              </w:rPr>
            </w:pPr>
            <w:r>
              <w:rPr>
                <w:rFonts w:ascii="標楷體" w:eastAsia="標楷體" w:hAnsi="標楷體"/>
                <w:spacing w:val="60"/>
              </w:rPr>
              <w:tab/>
            </w:r>
            <w:r w:rsidR="00161467">
              <w:rPr>
                <w:rFonts w:ascii="標楷體" w:eastAsia="標楷體" w:hAnsi="標楷體" w:hint="eastAsia"/>
                <w:spacing w:val="60"/>
              </w:rPr>
              <w:t xml:space="preserve"> </w:t>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989" w:type="dxa"/>
            <w:vMerge w:val="restart"/>
            <w:tcBorders>
              <w:top w:val="single" w:sz="8" w:space="0" w:color="auto"/>
              <w:left w:val="nil"/>
              <w:bottom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D736EF" w:rsidRDefault="00D736EF" w:rsidP="002B2EEC">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D736EF" w:rsidRDefault="00D736EF" w:rsidP="002B2EEC">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D736EF" w:rsidRDefault="00D736EF" w:rsidP="002B2EEC">
            <w:pPr>
              <w:spacing w:line="240" w:lineRule="exact"/>
              <w:jc w:val="distribute"/>
              <w:rPr>
                <w:rFonts w:ascii="標楷體" w:eastAsia="標楷體" w:hAnsi="標楷體"/>
              </w:rPr>
            </w:pPr>
            <w:r>
              <w:rPr>
                <w:rFonts w:ascii="標楷體" w:eastAsia="標楷體" w:hAnsi="標楷體" w:hint="eastAsia"/>
              </w:rPr>
              <w:t>比較增減</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4"/>
          <w:tblHeader/>
          <w:jc w:val="center"/>
        </w:trPr>
        <w:tc>
          <w:tcPr>
            <w:tcW w:w="2989" w:type="dxa"/>
            <w:vMerge/>
            <w:tcBorders>
              <w:top w:val="nil"/>
              <w:left w:val="nil"/>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779"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rightChars="5" w:right="12"/>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239,447,089,637</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291,999,435,000</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b/>
                <w:noProof/>
                <w:sz w:val="18"/>
              </w:rPr>
              <w:t>- 52,552,345,363</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b/>
                <w:kern w:val="0"/>
                <w:sz w:val="18"/>
              </w:rPr>
              <w:t>- 18.00</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100" w:left="24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143,680,512,583</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60.01</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149,261,925,810</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51.12</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- 5,581,413,227</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- 3.74</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12,382,041,526</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5.17</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9,941,812,823</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3.40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2,440,228,703</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24.55</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1,498,456,291</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0.63</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6,727,217,591</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2.30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- 5,228,761,300</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- 77.73</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129,800,014,766</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54.21</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132,590,295,396</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45.41</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- 2,790,280,630</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- 2.10</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rsidR="00D736EF" w:rsidRPr="00190A22" w:rsidRDefault="00D736EF" w:rsidP="00C13DA8">
            <w:pPr>
              <w:ind w:leftChars="-19" w:left="-46"/>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2,600,000</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- 2,600,000</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- 100.00</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Pr="00C13DA8" w:rsidRDefault="00D736EF" w:rsidP="00C13DA8">
            <w:pPr>
              <w:ind w:leftChars="100" w:left="240" w:rightChars="5" w:right="12"/>
              <w:jc w:val="distribute"/>
              <w:rPr>
                <w:rFonts w:ascii="標楷體" w:eastAsia="標楷體" w:hAnsi="標楷體"/>
                <w:spacing w:val="-26"/>
                <w:kern w:val="0"/>
                <w:sz w:val="22"/>
              </w:rPr>
            </w:pPr>
            <w:r w:rsidRPr="00C13DA8">
              <w:rPr>
                <w:rFonts w:ascii="標楷體" w:eastAsia="標楷體" w:hAnsi="標楷體"/>
                <w:spacing w:val="-26"/>
                <w:kern w:val="0"/>
                <w:sz w:val="22"/>
              </w:rPr>
              <w:t>投資、長期應收款、貸墊款及準備金</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87,361,213,286</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36.48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133,802,394,416</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45.82</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- 46,441,181,130</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- 34.71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準備金</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87,361,213,286</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36.48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133,802,394,416</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45.82</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- 46,441,181,130</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- 34.71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100" w:left="24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223,305,877</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0.09</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247,045,478</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0.08</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- 23,739,601</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- 9.61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223,305,877</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0.09</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247,045,478</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0.08</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- 23,739,601</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- 9.61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100" w:left="24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317,199,060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0.13</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316,525,192</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0.11</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673,868</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0.21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317,199,060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0.13</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316,525,192</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0.11</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673,868</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0.21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100" w:left="24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7,864,858,831</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3.28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8,371,544,104</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2.87</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- 506,685,273</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- 6.05</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nil"/>
            </w:tcBorders>
            <w:vAlign w:val="center"/>
          </w:tcPr>
          <w:p w:rsidR="00D736EF" w:rsidRDefault="00D736EF" w:rsidP="00C13DA8">
            <w:pPr>
              <w:ind w:leftChars="200" w:left="480" w:rightChars="5" w:right="12"/>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7,864,858,831</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3.28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8,371,544,104</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2.87</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- 506,685,273</w:t>
            </w:r>
          </w:p>
        </w:tc>
        <w:tc>
          <w:tcPr>
            <w:tcW w:w="651"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- 6.05</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6"/>
          <w:jc w:val="center"/>
        </w:trPr>
        <w:tc>
          <w:tcPr>
            <w:tcW w:w="2989" w:type="dxa"/>
            <w:tcBorders>
              <w:top w:val="nil"/>
              <w:left w:val="nil"/>
              <w:bottom w:val="single" w:sz="8" w:space="0" w:color="auto"/>
            </w:tcBorders>
            <w:vAlign w:val="center"/>
          </w:tcPr>
          <w:p w:rsidR="00D736EF" w:rsidRDefault="00D736EF" w:rsidP="00C13DA8">
            <w:pPr>
              <w:ind w:rightChars="5" w:right="12"/>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239,447,089,637</w:t>
            </w:r>
          </w:p>
        </w:tc>
        <w:tc>
          <w:tcPr>
            <w:tcW w:w="657"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291,999,435,000</w:t>
            </w:r>
          </w:p>
        </w:tc>
        <w:tc>
          <w:tcPr>
            <w:tcW w:w="672"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b/>
                <w:noProof/>
                <w:sz w:val="18"/>
              </w:rPr>
              <w:t>- 52,552,345,363</w:t>
            </w:r>
          </w:p>
        </w:tc>
        <w:tc>
          <w:tcPr>
            <w:tcW w:w="651" w:type="dxa"/>
            <w:tcBorders>
              <w:top w:val="nil"/>
              <w:bottom w:val="single" w:sz="8" w:space="0" w:color="auto"/>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b/>
                <w:kern w:val="0"/>
                <w:sz w:val="18"/>
              </w:rPr>
              <w:t>- 18.00</w:t>
            </w:r>
          </w:p>
        </w:tc>
      </w:tr>
    </w:tbl>
    <w:p w:rsidR="00D736EF" w:rsidRPr="00AD3BAA" w:rsidRDefault="00D736EF" w:rsidP="00C2464B">
      <w:pPr>
        <w:tabs>
          <w:tab w:val="left" w:pos="408"/>
        </w:tabs>
        <w:adjustRightInd w:val="0"/>
        <w:snapToGrid w:val="0"/>
        <w:spacing w:line="0" w:lineRule="atLeast"/>
        <w:ind w:left="502" w:hangingChars="279" w:hanging="502"/>
        <w:rPr>
          <w:rFonts w:ascii="標楷體" w:eastAsia="標楷體" w:hAnsi="標楷體"/>
          <w:sz w:val="18"/>
        </w:rPr>
      </w:pPr>
      <w:proofErr w:type="gramStart"/>
      <w:r w:rsidRPr="00AD3BAA">
        <w:rPr>
          <w:rFonts w:ascii="標楷體" w:eastAsia="標楷體" w:hAnsi="標楷體"/>
          <w:sz w:val="18"/>
        </w:rPr>
        <w:t>註</w:t>
      </w:r>
      <w:proofErr w:type="gramEnd"/>
      <w:r w:rsidRPr="00AD3BAA">
        <w:rPr>
          <w:rFonts w:ascii="標楷體" w:eastAsia="標楷體" w:hAnsi="標楷體"/>
          <w:sz w:val="18"/>
        </w:rPr>
        <w:t>：信託代理與保證資產（負債），109年底及108年底各有388,103,541元及379,797,649元。</w:t>
      </w:r>
    </w:p>
    <w:tbl>
      <w:tblPr>
        <w:tblW w:w="9897" w:type="dxa"/>
        <w:tblInd w:w="56" w:type="dxa"/>
        <w:tblLayout w:type="fixed"/>
        <w:tblCellMar>
          <w:left w:w="28" w:type="dxa"/>
          <w:right w:w="28" w:type="dxa"/>
        </w:tblCellMar>
        <w:tblLook w:val="0000" w:firstRow="0" w:lastRow="0" w:firstColumn="0" w:lastColumn="0" w:noHBand="0" w:noVBand="0"/>
      </w:tblPr>
      <w:tblGrid>
        <w:gridCol w:w="2711"/>
        <w:gridCol w:w="1779"/>
        <w:gridCol w:w="657"/>
        <w:gridCol w:w="1764"/>
        <w:gridCol w:w="672"/>
        <w:gridCol w:w="1414"/>
        <w:gridCol w:w="900"/>
      </w:tblGrid>
      <w:tr w:rsidR="00D736EF" w:rsidRPr="00C2464B" w:rsidTr="00C2464B">
        <w:trPr>
          <w:tblHeader/>
        </w:trPr>
        <w:tc>
          <w:tcPr>
            <w:tcW w:w="9897" w:type="dxa"/>
            <w:gridSpan w:val="7"/>
            <w:tcBorders>
              <w:bottom w:val="single" w:sz="8" w:space="0" w:color="auto"/>
            </w:tcBorders>
          </w:tcPr>
          <w:p w:rsidR="00D736EF" w:rsidRPr="00BD6C64" w:rsidRDefault="00D736EF" w:rsidP="00C2464B">
            <w:pPr>
              <w:snapToGrid w:val="0"/>
              <w:ind w:leftChars="225" w:left="540"/>
              <w:jc w:val="center"/>
              <w:rPr>
                <w:rFonts w:ascii="標楷體" w:eastAsia="標楷體" w:hAnsi="標楷體"/>
                <w:b/>
                <w:sz w:val="32"/>
                <w:u w:val="single"/>
              </w:rPr>
            </w:pPr>
            <w:r w:rsidRPr="00BD6C64">
              <w:rPr>
                <w:rFonts w:ascii="標楷體" w:eastAsia="標楷體" w:hAnsi="標楷體" w:cs="標楷體" w:hint="eastAsia"/>
                <w:b/>
                <w:color w:val="000000"/>
                <w:sz w:val="32"/>
                <w:u w:val="single" w:color="000000"/>
              </w:rPr>
              <w:lastRenderedPageBreak/>
              <w:t xml:space="preserve">　</w:t>
            </w:r>
            <w:r w:rsidRPr="00BD6C64">
              <w:rPr>
                <w:rFonts w:ascii="標楷體" w:eastAsia="標楷體" w:hAnsi="標楷體" w:cs="標楷體"/>
                <w:b/>
                <w:color w:val="000000"/>
                <w:sz w:val="32"/>
                <w:u w:val="single" w:color="000000"/>
              </w:rPr>
              <w:t>全民健康保險基金</w:t>
            </w:r>
            <w:r w:rsidRPr="00BD6C64">
              <w:rPr>
                <w:rFonts w:ascii="標楷體" w:eastAsia="標楷體" w:hAnsi="標楷體" w:cs="標楷體" w:hint="eastAsia"/>
                <w:b/>
                <w:color w:val="000000"/>
                <w:sz w:val="32"/>
                <w:u w:val="single" w:color="000000"/>
              </w:rPr>
              <w:t>餘</w:t>
            </w:r>
            <w:proofErr w:type="gramStart"/>
            <w:r w:rsidRPr="00BD6C64">
              <w:rPr>
                <w:rFonts w:ascii="標楷體" w:eastAsia="標楷體" w:hAnsi="標楷體" w:cs="標楷體" w:hint="eastAsia"/>
                <w:b/>
                <w:color w:val="000000"/>
                <w:sz w:val="32"/>
                <w:u w:val="single" w:color="000000"/>
              </w:rPr>
              <w:t>絀</w:t>
            </w:r>
            <w:proofErr w:type="gramEnd"/>
            <w:r w:rsidRPr="00BD6C64">
              <w:rPr>
                <w:rFonts w:ascii="標楷體" w:eastAsia="標楷體" w:hAnsi="標楷體" w:cs="標楷體" w:hint="eastAsia"/>
                <w:b/>
                <w:color w:val="000000"/>
                <w:sz w:val="32"/>
                <w:u w:val="single" w:color="000000"/>
              </w:rPr>
              <w:t xml:space="preserve">審定後平衡表　</w:t>
            </w:r>
            <w:r w:rsidRPr="00176776">
              <w:rPr>
                <w:rFonts w:ascii="標楷體" w:eastAsia="標楷體" w:hAnsi="標楷體" w:cs="標楷體" w:hint="eastAsia"/>
                <w:bCs/>
                <w:color w:val="000000"/>
                <w:sz w:val="32"/>
                <w:u w:color="000000"/>
              </w:rPr>
              <w:t>（續）</w:t>
            </w:r>
          </w:p>
          <w:p w:rsidR="00D736EF" w:rsidRDefault="00D736EF" w:rsidP="00C2464B">
            <w:pPr>
              <w:tabs>
                <w:tab w:val="left" w:pos="3375"/>
                <w:tab w:val="left" w:pos="8385"/>
              </w:tabs>
              <w:snapToGrid w:val="0"/>
              <w:ind w:rightChars="-52" w:right="-125"/>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711" w:type="dxa"/>
            <w:vMerge w:val="restart"/>
            <w:tcBorders>
              <w:top w:val="single" w:sz="8" w:space="0" w:color="auto"/>
              <w:left w:val="nil"/>
              <w:bottom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D736EF" w:rsidRDefault="00D736EF" w:rsidP="002B2EEC">
            <w:pPr>
              <w:ind w:left="70" w:right="42"/>
              <w:jc w:val="distribute"/>
              <w:rPr>
                <w:rFonts w:ascii="標楷體" w:eastAsia="標楷體" w:hAnsi="標楷體"/>
                <w:spacing w:val="-20"/>
              </w:rPr>
            </w:pPr>
            <w:r w:rsidRPr="00004D6F">
              <w:rPr>
                <w:rFonts w:ascii="標楷體" w:eastAsia="標楷體" w:hAnsi="標楷體"/>
              </w:rPr>
              <w:t>109</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D736EF" w:rsidRDefault="00D736EF" w:rsidP="002B2EEC">
            <w:pPr>
              <w:ind w:left="1" w:right="42" w:firstLineChars="27" w:firstLine="65"/>
              <w:jc w:val="distribute"/>
              <w:rPr>
                <w:rFonts w:ascii="標楷體" w:eastAsia="標楷體" w:hAnsi="標楷體"/>
                <w:spacing w:val="-20"/>
              </w:rPr>
            </w:pPr>
            <w:r w:rsidRPr="00004D6F">
              <w:rPr>
                <w:rFonts w:ascii="標楷體" w:eastAsia="標楷體" w:hAnsi="標楷體"/>
              </w:rPr>
              <w:t>108</w:t>
            </w:r>
            <w:r>
              <w:rPr>
                <w:rFonts w:ascii="標楷體" w:eastAsia="標楷體" w:hAnsi="標楷體" w:hint="eastAsia"/>
                <w:spacing w:val="-20"/>
              </w:rPr>
              <w:t>年12月31日</w:t>
            </w:r>
          </w:p>
        </w:tc>
        <w:tc>
          <w:tcPr>
            <w:tcW w:w="2314" w:type="dxa"/>
            <w:gridSpan w:val="2"/>
            <w:tcBorders>
              <w:top w:val="single" w:sz="8" w:space="0" w:color="auto"/>
              <w:bottom w:val="nil"/>
              <w:right w:val="nil"/>
            </w:tcBorders>
            <w:vAlign w:val="center"/>
          </w:tcPr>
          <w:p w:rsidR="00D736EF" w:rsidRDefault="00D736EF" w:rsidP="002B2EEC">
            <w:pPr>
              <w:spacing w:line="240" w:lineRule="exact"/>
              <w:jc w:val="distribute"/>
              <w:rPr>
                <w:rFonts w:ascii="標楷體" w:eastAsia="標楷體" w:hAnsi="標楷體"/>
              </w:rPr>
            </w:pPr>
            <w:r>
              <w:rPr>
                <w:rFonts w:ascii="標楷體" w:eastAsia="標楷體" w:hAnsi="標楷體" w:hint="eastAsia"/>
              </w:rPr>
              <w:t>比較增減</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711" w:type="dxa"/>
            <w:vMerge/>
            <w:tcBorders>
              <w:top w:val="nil"/>
              <w:left w:val="nil"/>
              <w:bottom w:val="single" w:sz="8" w:space="0" w:color="auto"/>
            </w:tcBorders>
            <w:vAlign w:val="center"/>
          </w:tcPr>
          <w:p w:rsidR="00D736EF" w:rsidRDefault="00D736EF" w:rsidP="002B2EEC">
            <w:pPr>
              <w:ind w:left="113" w:right="113"/>
              <w:jc w:val="distribute"/>
              <w:rPr>
                <w:rFonts w:ascii="標楷體" w:eastAsia="標楷體" w:hAnsi="標楷體"/>
              </w:rPr>
            </w:pPr>
          </w:p>
        </w:tc>
        <w:tc>
          <w:tcPr>
            <w:tcW w:w="1779"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金額</w:t>
            </w:r>
          </w:p>
        </w:tc>
        <w:tc>
          <w:tcPr>
            <w:tcW w:w="900" w:type="dxa"/>
            <w:tcBorders>
              <w:bottom w:val="single" w:sz="8" w:space="0" w:color="auto"/>
              <w:right w:val="nil"/>
            </w:tcBorders>
            <w:vAlign w:val="center"/>
          </w:tcPr>
          <w:p w:rsidR="00D736EF" w:rsidRDefault="00D736EF" w:rsidP="002B2EEC">
            <w:pPr>
              <w:ind w:left="113" w:right="113"/>
              <w:jc w:val="distribute"/>
              <w:rPr>
                <w:rFonts w:ascii="標楷體" w:eastAsia="標楷體" w:hAnsi="標楷體"/>
              </w:rPr>
            </w:pPr>
            <w:r>
              <w:rPr>
                <w:rFonts w:ascii="標楷體" w:eastAsia="標楷體" w:hAnsi="標楷體" w:hint="eastAsia"/>
              </w:rPr>
              <w:t>％</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239,436,159,543</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291,905,732,454</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99.97</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b/>
                <w:noProof/>
                <w:sz w:val="18"/>
              </w:rPr>
              <w:t>- 52,469,572,911</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b/>
                <w:kern w:val="0"/>
                <w:sz w:val="18"/>
              </w:rPr>
              <w:t>- 17.97</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130,202,178,739</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54.38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115,133,352,698</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39.43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15,068,826,041</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13.09</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130,202,178,739</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54.38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115,133,352,698</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39.43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15,068,826,041</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13.09</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109,233,980,804</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45.62</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176,772,379,756</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60.54</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- 67,538,398,952</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- 38.21</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負債準備</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109,136,081,664</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45.58</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176,743,411,079</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60.53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- 67,607,329,415</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- 38.25</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97,899,140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28,968,677</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68,930,463</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237.95</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jc w:val="distribute"/>
              <w:rPr>
                <w:rFonts w:ascii="標楷體" w:eastAsia="標楷體" w:hAnsi="標楷體"/>
                <w:spacing w:val="-6"/>
                <w:kern w:val="0"/>
                <w:sz w:val="22"/>
              </w:rPr>
            </w:pPr>
            <w:r w:rsidRPr="00004D6F">
              <w:rPr>
                <w:rFonts w:ascii="標楷體" w:eastAsia="標楷體" w:hAnsi="標楷體"/>
                <w:b/>
                <w:spacing w:val="-6"/>
                <w:kern w:val="0"/>
              </w:rPr>
              <w:t>淨值</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10,930,094</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93,702,546</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0.03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b/>
                <w:noProof/>
                <w:sz w:val="18"/>
              </w:rPr>
              <w:t>- 82,772,452</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b/>
                <w:kern w:val="0"/>
                <w:sz w:val="18"/>
              </w:rPr>
              <w:t>- 88.34</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930,000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930,000</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930,000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930,000</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9,869,094</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89,869,374</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- 80,000,280</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- 89.02</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9,869,094</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89,869,374</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- 80,000,280</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- 89.02</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131,000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2,903,172</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- 2,772,172</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- 95.49</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nil"/>
            </w:tcBorders>
            <w:vAlign w:val="center"/>
          </w:tcPr>
          <w:p w:rsidR="00D736EF" w:rsidRDefault="00D736EF" w:rsidP="002B2EEC">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131,000</w:t>
            </w:r>
          </w:p>
        </w:tc>
        <w:tc>
          <w:tcPr>
            <w:tcW w:w="657"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2,903,172</w:t>
            </w:r>
          </w:p>
        </w:tc>
        <w:tc>
          <w:tcPr>
            <w:tcW w:w="672" w:type="dxa"/>
            <w:tcBorders>
              <w:top w:val="nil"/>
              <w:bottom w:val="nil"/>
            </w:tcBorders>
            <w:vAlign w:val="center"/>
          </w:tcPr>
          <w:p w:rsidR="00D736EF" w:rsidRPr="00190A22" w:rsidRDefault="00D736EF" w:rsidP="002B2EEC">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noProof/>
                <w:sz w:val="18"/>
              </w:rPr>
              <w:t>- 2,772,172</w:t>
            </w:r>
          </w:p>
        </w:tc>
        <w:tc>
          <w:tcPr>
            <w:tcW w:w="900" w:type="dxa"/>
            <w:tcBorders>
              <w:top w:val="nil"/>
              <w:bottom w:val="nil"/>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kern w:val="0"/>
                <w:sz w:val="18"/>
              </w:rPr>
              <w:t>- 95.49</w:t>
            </w:r>
          </w:p>
        </w:tc>
      </w:tr>
      <w:tr w:rsidR="00D736EF" w:rsidTr="00C2464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4"/>
        </w:trPr>
        <w:tc>
          <w:tcPr>
            <w:tcW w:w="2711" w:type="dxa"/>
            <w:tcBorders>
              <w:top w:val="nil"/>
              <w:left w:val="nil"/>
              <w:bottom w:val="single" w:sz="8" w:space="0" w:color="auto"/>
            </w:tcBorders>
            <w:vAlign w:val="center"/>
          </w:tcPr>
          <w:p w:rsidR="00D736EF" w:rsidRDefault="00D736EF" w:rsidP="002B2EEC">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239,447,089,637</w:t>
            </w:r>
          </w:p>
        </w:tc>
        <w:tc>
          <w:tcPr>
            <w:tcW w:w="657"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291,999,435,000</w:t>
            </w:r>
          </w:p>
        </w:tc>
        <w:tc>
          <w:tcPr>
            <w:tcW w:w="672" w:type="dxa"/>
            <w:tcBorders>
              <w:top w:val="nil"/>
              <w:bottom w:val="single" w:sz="8" w:space="0" w:color="auto"/>
            </w:tcBorders>
            <w:vAlign w:val="center"/>
          </w:tcPr>
          <w:p w:rsidR="00D736EF" w:rsidRPr="00190A22" w:rsidRDefault="00D736EF" w:rsidP="002B2EEC">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D736EF" w:rsidRPr="00190A22" w:rsidRDefault="00D736EF" w:rsidP="002B2EEC">
            <w:pPr>
              <w:jc w:val="right"/>
              <w:rPr>
                <w:rFonts w:ascii="新細明體" w:hAnsi="新細明體"/>
                <w:noProof/>
                <w:sz w:val="18"/>
              </w:rPr>
            </w:pPr>
            <w:r w:rsidRPr="00004D6F">
              <w:rPr>
                <w:rFonts w:ascii="新細明體" w:hAnsi="新細明體"/>
                <w:b/>
                <w:noProof/>
                <w:sz w:val="18"/>
              </w:rPr>
              <w:t>- 52,552,345,363</w:t>
            </w:r>
          </w:p>
        </w:tc>
        <w:tc>
          <w:tcPr>
            <w:tcW w:w="900" w:type="dxa"/>
            <w:tcBorders>
              <w:top w:val="nil"/>
              <w:bottom w:val="single" w:sz="8" w:space="0" w:color="auto"/>
              <w:right w:val="nil"/>
            </w:tcBorders>
            <w:vAlign w:val="center"/>
          </w:tcPr>
          <w:p w:rsidR="00D736EF" w:rsidRPr="00190A22" w:rsidRDefault="00D736EF" w:rsidP="002B2EEC">
            <w:pPr>
              <w:jc w:val="right"/>
              <w:rPr>
                <w:rFonts w:ascii="新細明體" w:hAnsi="新細明體"/>
                <w:kern w:val="0"/>
                <w:sz w:val="18"/>
              </w:rPr>
            </w:pPr>
            <w:r w:rsidRPr="00004D6F">
              <w:rPr>
                <w:rFonts w:ascii="新細明體" w:hAnsi="新細明體"/>
                <w:b/>
                <w:kern w:val="0"/>
                <w:sz w:val="18"/>
              </w:rPr>
              <w:t>- 18.00</w:t>
            </w:r>
          </w:p>
        </w:tc>
      </w:tr>
    </w:tbl>
    <w:p w:rsidR="00D736EF" w:rsidRPr="00C2464B" w:rsidRDefault="00D736EF" w:rsidP="00C2464B">
      <w:pPr>
        <w:spacing w:line="0" w:lineRule="atLeast"/>
        <w:rPr>
          <w:sz w:val="2"/>
        </w:rPr>
      </w:pPr>
    </w:p>
    <w:sectPr w:rsidR="00D736EF" w:rsidRPr="00C2464B" w:rsidSect="00714B10">
      <w:footerReference w:type="even" r:id="rId10"/>
      <w:footerReference w:type="default" r:id="rId11"/>
      <w:pgSz w:w="11906" w:h="16838" w:code="9"/>
      <w:pgMar w:top="1418" w:right="851" w:bottom="1418" w:left="851" w:header="1021" w:footer="737" w:gutter="284"/>
      <w:pgNumType w:start="289"/>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AC" w:rsidRDefault="00B850AC">
      <w:r>
        <w:separator/>
      </w:r>
    </w:p>
  </w:endnote>
  <w:endnote w:type="continuationSeparator" w:id="0">
    <w:p w:rsidR="00B850AC" w:rsidRDefault="00B85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231313983"/>
      <w:docPartObj>
        <w:docPartGallery w:val="Page Numbers (Bottom of Page)"/>
        <w:docPartUnique/>
      </w:docPartObj>
    </w:sdtPr>
    <w:sdtEndPr/>
    <w:sdtContent>
      <w:p w:rsidR="00714B10" w:rsidRDefault="00714B10" w:rsidP="00714B10">
        <w:pPr>
          <w:pStyle w:val="a7"/>
          <w:jc w:val="center"/>
          <w:rPr>
            <w:rFonts w:ascii="標楷體" w:eastAsia="標楷體" w:hAnsi="標楷體"/>
          </w:rPr>
        </w:pPr>
        <w:r w:rsidRPr="00353195">
          <w:rPr>
            <w:rFonts w:ascii="標楷體" w:eastAsia="標楷體" w:hAnsi="標楷體" w:hint="eastAsia"/>
          </w:rPr>
          <w:t>乙-</w:t>
        </w:r>
        <w:r w:rsidRPr="00353195">
          <w:rPr>
            <w:rFonts w:ascii="標楷體" w:eastAsia="標楷體" w:hAnsi="標楷體"/>
          </w:rPr>
          <w:fldChar w:fldCharType="begin"/>
        </w:r>
        <w:r w:rsidRPr="00353195">
          <w:rPr>
            <w:rFonts w:ascii="標楷體" w:eastAsia="標楷體" w:hAnsi="標楷體"/>
          </w:rPr>
          <w:instrText>PAGE   \* MERGEFORMAT</w:instrText>
        </w:r>
        <w:r w:rsidRPr="00353195">
          <w:rPr>
            <w:rFonts w:ascii="標楷體" w:eastAsia="標楷體" w:hAnsi="標楷體"/>
          </w:rPr>
          <w:fldChar w:fldCharType="separate"/>
        </w:r>
        <w:r w:rsidR="00B974E6" w:rsidRPr="00B974E6">
          <w:rPr>
            <w:rFonts w:ascii="標楷體" w:eastAsia="標楷體" w:hAnsi="標楷體"/>
            <w:noProof/>
            <w:lang w:val="zh-TW"/>
          </w:rPr>
          <w:t>300</w:t>
        </w:r>
        <w:r w:rsidRPr="00353195">
          <w:rPr>
            <w:rFonts w:ascii="標楷體" w:eastAsia="標楷體" w:hAnsi="標楷體"/>
          </w:rPr>
          <w:fldChar w:fldCharType="end"/>
        </w:r>
      </w:p>
    </w:sdtContent>
  </w:sdt>
  <w:p w:rsidR="00714B10" w:rsidRPr="00353195" w:rsidRDefault="00714B10" w:rsidP="00714B10">
    <w:pPr>
      <w:pStyle w:val="a7"/>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548954489"/>
      <w:docPartObj>
        <w:docPartGallery w:val="Page Numbers (Bottom of Page)"/>
        <w:docPartUnique/>
      </w:docPartObj>
    </w:sdtPr>
    <w:sdtEndPr/>
    <w:sdtContent>
      <w:p w:rsidR="00935804" w:rsidRDefault="00353195">
        <w:pPr>
          <w:pStyle w:val="a7"/>
          <w:jc w:val="center"/>
          <w:rPr>
            <w:rFonts w:ascii="標楷體" w:eastAsia="標楷體" w:hAnsi="標楷體"/>
          </w:rPr>
        </w:pPr>
        <w:r w:rsidRPr="00353195">
          <w:rPr>
            <w:rFonts w:ascii="標楷體" w:eastAsia="標楷體" w:hAnsi="標楷體" w:hint="eastAsia"/>
          </w:rPr>
          <w:t>乙-</w:t>
        </w:r>
        <w:r w:rsidR="00935804" w:rsidRPr="00353195">
          <w:rPr>
            <w:rFonts w:ascii="標楷體" w:eastAsia="標楷體" w:hAnsi="標楷體"/>
          </w:rPr>
          <w:fldChar w:fldCharType="begin"/>
        </w:r>
        <w:r w:rsidR="00935804" w:rsidRPr="00353195">
          <w:rPr>
            <w:rFonts w:ascii="標楷體" w:eastAsia="標楷體" w:hAnsi="標楷體"/>
          </w:rPr>
          <w:instrText>PAGE   \* MERGEFORMAT</w:instrText>
        </w:r>
        <w:r w:rsidR="00935804" w:rsidRPr="00353195">
          <w:rPr>
            <w:rFonts w:ascii="標楷體" w:eastAsia="標楷體" w:hAnsi="標楷體"/>
          </w:rPr>
          <w:fldChar w:fldCharType="separate"/>
        </w:r>
        <w:r w:rsidR="00B974E6" w:rsidRPr="00B974E6">
          <w:rPr>
            <w:rFonts w:ascii="標楷體" w:eastAsia="標楷體" w:hAnsi="標楷體"/>
            <w:noProof/>
            <w:lang w:val="zh-TW"/>
          </w:rPr>
          <w:t>299</w:t>
        </w:r>
        <w:r w:rsidR="00935804" w:rsidRPr="00353195">
          <w:rPr>
            <w:rFonts w:ascii="標楷體" w:eastAsia="標楷體" w:hAnsi="標楷體"/>
          </w:rPr>
          <w:fldChar w:fldCharType="end"/>
        </w:r>
      </w:p>
    </w:sdtContent>
  </w:sdt>
  <w:p w:rsidR="00714B10" w:rsidRPr="00353195" w:rsidRDefault="00714B10">
    <w:pPr>
      <w:pStyle w:val="a7"/>
      <w:jc w:val="center"/>
      <w:rPr>
        <w:rFonts w:ascii="標楷體" w:eastAsia="標楷體" w:hAnsi="標楷體"/>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AC" w:rsidRDefault="00B850AC">
      <w:r>
        <w:separator/>
      </w:r>
    </w:p>
  </w:footnote>
  <w:footnote w:type="continuationSeparator" w:id="0">
    <w:p w:rsidR="00B850AC" w:rsidRDefault="00B850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8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7ED"/>
    <w:rsid w:val="00002161"/>
    <w:rsid w:val="00003C97"/>
    <w:rsid w:val="00011F4C"/>
    <w:rsid w:val="0001426B"/>
    <w:rsid w:val="000143BC"/>
    <w:rsid w:val="00016D1A"/>
    <w:rsid w:val="00017C60"/>
    <w:rsid w:val="0002408E"/>
    <w:rsid w:val="00026003"/>
    <w:rsid w:val="000273C0"/>
    <w:rsid w:val="00027AF1"/>
    <w:rsid w:val="000449C8"/>
    <w:rsid w:val="00044BB7"/>
    <w:rsid w:val="000460D7"/>
    <w:rsid w:val="00047F5A"/>
    <w:rsid w:val="00060757"/>
    <w:rsid w:val="00062DC7"/>
    <w:rsid w:val="0006452B"/>
    <w:rsid w:val="0006550F"/>
    <w:rsid w:val="0007440A"/>
    <w:rsid w:val="00076DEC"/>
    <w:rsid w:val="00077D77"/>
    <w:rsid w:val="0008062A"/>
    <w:rsid w:val="00081302"/>
    <w:rsid w:val="00086550"/>
    <w:rsid w:val="0008691F"/>
    <w:rsid w:val="00090410"/>
    <w:rsid w:val="00092F5D"/>
    <w:rsid w:val="0009596B"/>
    <w:rsid w:val="000975D6"/>
    <w:rsid w:val="000B510B"/>
    <w:rsid w:val="000B6284"/>
    <w:rsid w:val="000B7C5F"/>
    <w:rsid w:val="000C1A79"/>
    <w:rsid w:val="000C272C"/>
    <w:rsid w:val="000C290F"/>
    <w:rsid w:val="000C54BF"/>
    <w:rsid w:val="000C75C8"/>
    <w:rsid w:val="000D2D3D"/>
    <w:rsid w:val="000D3081"/>
    <w:rsid w:val="000D78FA"/>
    <w:rsid w:val="000E1B70"/>
    <w:rsid w:val="000E2F8A"/>
    <w:rsid w:val="000F4571"/>
    <w:rsid w:val="00100070"/>
    <w:rsid w:val="00102F9B"/>
    <w:rsid w:val="001030ED"/>
    <w:rsid w:val="00106E36"/>
    <w:rsid w:val="001102D3"/>
    <w:rsid w:val="00117B29"/>
    <w:rsid w:val="00120F56"/>
    <w:rsid w:val="001228E9"/>
    <w:rsid w:val="0012310C"/>
    <w:rsid w:val="00126ADF"/>
    <w:rsid w:val="00133FCC"/>
    <w:rsid w:val="00134E58"/>
    <w:rsid w:val="0014484C"/>
    <w:rsid w:val="00146D87"/>
    <w:rsid w:val="00147909"/>
    <w:rsid w:val="0015290C"/>
    <w:rsid w:val="00153F1E"/>
    <w:rsid w:val="00155989"/>
    <w:rsid w:val="00157694"/>
    <w:rsid w:val="00160123"/>
    <w:rsid w:val="001602BC"/>
    <w:rsid w:val="00161467"/>
    <w:rsid w:val="001624D4"/>
    <w:rsid w:val="001653EF"/>
    <w:rsid w:val="00173E9D"/>
    <w:rsid w:val="00174261"/>
    <w:rsid w:val="001746E5"/>
    <w:rsid w:val="00175780"/>
    <w:rsid w:val="00176776"/>
    <w:rsid w:val="0018236F"/>
    <w:rsid w:val="00184BA8"/>
    <w:rsid w:val="001860AE"/>
    <w:rsid w:val="00186155"/>
    <w:rsid w:val="001863F6"/>
    <w:rsid w:val="00190C35"/>
    <w:rsid w:val="00194C46"/>
    <w:rsid w:val="001A1CFC"/>
    <w:rsid w:val="001A20B4"/>
    <w:rsid w:val="001A2709"/>
    <w:rsid w:val="001A6305"/>
    <w:rsid w:val="001B182C"/>
    <w:rsid w:val="001B50B6"/>
    <w:rsid w:val="001B5412"/>
    <w:rsid w:val="001B7829"/>
    <w:rsid w:val="001C2998"/>
    <w:rsid w:val="001C2F2D"/>
    <w:rsid w:val="001C39A6"/>
    <w:rsid w:val="001C461E"/>
    <w:rsid w:val="001C6738"/>
    <w:rsid w:val="001C76DE"/>
    <w:rsid w:val="001C7EA2"/>
    <w:rsid w:val="001D43FF"/>
    <w:rsid w:val="001E1105"/>
    <w:rsid w:val="001E3C8C"/>
    <w:rsid w:val="001E4575"/>
    <w:rsid w:val="001E6B89"/>
    <w:rsid w:val="001F0B06"/>
    <w:rsid w:val="00206DBD"/>
    <w:rsid w:val="00207824"/>
    <w:rsid w:val="00210B76"/>
    <w:rsid w:val="00211822"/>
    <w:rsid w:val="00212BBF"/>
    <w:rsid w:val="00212E63"/>
    <w:rsid w:val="00213FD6"/>
    <w:rsid w:val="00220FDA"/>
    <w:rsid w:val="00221E51"/>
    <w:rsid w:val="0022358D"/>
    <w:rsid w:val="00230A7F"/>
    <w:rsid w:val="00234B06"/>
    <w:rsid w:val="00235128"/>
    <w:rsid w:val="002357ED"/>
    <w:rsid w:val="0025120E"/>
    <w:rsid w:val="002635FE"/>
    <w:rsid w:val="00265EAB"/>
    <w:rsid w:val="002707F9"/>
    <w:rsid w:val="00272536"/>
    <w:rsid w:val="002768D6"/>
    <w:rsid w:val="002809E7"/>
    <w:rsid w:val="00281C28"/>
    <w:rsid w:val="00291CBA"/>
    <w:rsid w:val="00292AA5"/>
    <w:rsid w:val="002A6C71"/>
    <w:rsid w:val="002A6CF7"/>
    <w:rsid w:val="002A75C3"/>
    <w:rsid w:val="002B2EEC"/>
    <w:rsid w:val="002B5207"/>
    <w:rsid w:val="002B5C60"/>
    <w:rsid w:val="002B7051"/>
    <w:rsid w:val="002C02DA"/>
    <w:rsid w:val="002C111C"/>
    <w:rsid w:val="002C1309"/>
    <w:rsid w:val="002D0E57"/>
    <w:rsid w:val="002D3D07"/>
    <w:rsid w:val="002D40BD"/>
    <w:rsid w:val="002E0BBC"/>
    <w:rsid w:val="002E2496"/>
    <w:rsid w:val="002E6D39"/>
    <w:rsid w:val="002E7516"/>
    <w:rsid w:val="002E7FC1"/>
    <w:rsid w:val="002F0C67"/>
    <w:rsid w:val="002F2B80"/>
    <w:rsid w:val="002F33E2"/>
    <w:rsid w:val="0030314B"/>
    <w:rsid w:val="00303B92"/>
    <w:rsid w:val="00311D30"/>
    <w:rsid w:val="003153A2"/>
    <w:rsid w:val="0031585F"/>
    <w:rsid w:val="003165F4"/>
    <w:rsid w:val="00320FB4"/>
    <w:rsid w:val="00322B56"/>
    <w:rsid w:val="00325143"/>
    <w:rsid w:val="00325A7A"/>
    <w:rsid w:val="00330408"/>
    <w:rsid w:val="00333B1B"/>
    <w:rsid w:val="00337439"/>
    <w:rsid w:val="0034030C"/>
    <w:rsid w:val="00340EA7"/>
    <w:rsid w:val="00350AE1"/>
    <w:rsid w:val="00351F73"/>
    <w:rsid w:val="00353195"/>
    <w:rsid w:val="00362351"/>
    <w:rsid w:val="0036261C"/>
    <w:rsid w:val="00362F0F"/>
    <w:rsid w:val="003636A9"/>
    <w:rsid w:val="003652FD"/>
    <w:rsid w:val="00365D2F"/>
    <w:rsid w:val="0036623D"/>
    <w:rsid w:val="00366A25"/>
    <w:rsid w:val="00374B71"/>
    <w:rsid w:val="00376AEF"/>
    <w:rsid w:val="003819A6"/>
    <w:rsid w:val="00390CA6"/>
    <w:rsid w:val="00392DC9"/>
    <w:rsid w:val="003937D2"/>
    <w:rsid w:val="00394678"/>
    <w:rsid w:val="00396AE2"/>
    <w:rsid w:val="003A20FA"/>
    <w:rsid w:val="003B4945"/>
    <w:rsid w:val="003B6C35"/>
    <w:rsid w:val="003C08CF"/>
    <w:rsid w:val="003C3003"/>
    <w:rsid w:val="003C37CA"/>
    <w:rsid w:val="003C3A52"/>
    <w:rsid w:val="003C4208"/>
    <w:rsid w:val="003D5D62"/>
    <w:rsid w:val="003D642A"/>
    <w:rsid w:val="003E0EE4"/>
    <w:rsid w:val="003E2CE8"/>
    <w:rsid w:val="003E303B"/>
    <w:rsid w:val="003F5039"/>
    <w:rsid w:val="004002D1"/>
    <w:rsid w:val="00401006"/>
    <w:rsid w:val="0040228A"/>
    <w:rsid w:val="004061C8"/>
    <w:rsid w:val="00415FC4"/>
    <w:rsid w:val="00416173"/>
    <w:rsid w:val="00422F93"/>
    <w:rsid w:val="00427F5A"/>
    <w:rsid w:val="00430E87"/>
    <w:rsid w:val="004318C3"/>
    <w:rsid w:val="00433F43"/>
    <w:rsid w:val="004349C8"/>
    <w:rsid w:val="00440819"/>
    <w:rsid w:val="004435FC"/>
    <w:rsid w:val="00445D37"/>
    <w:rsid w:val="00447390"/>
    <w:rsid w:val="00455E26"/>
    <w:rsid w:val="004566E6"/>
    <w:rsid w:val="0046153B"/>
    <w:rsid w:val="00462975"/>
    <w:rsid w:val="00462B5C"/>
    <w:rsid w:val="00466C53"/>
    <w:rsid w:val="0046771B"/>
    <w:rsid w:val="004714C4"/>
    <w:rsid w:val="00473993"/>
    <w:rsid w:val="0047517F"/>
    <w:rsid w:val="0048096E"/>
    <w:rsid w:val="00483F75"/>
    <w:rsid w:val="00487430"/>
    <w:rsid w:val="00493C11"/>
    <w:rsid w:val="004946BB"/>
    <w:rsid w:val="004A1195"/>
    <w:rsid w:val="004A1860"/>
    <w:rsid w:val="004A311F"/>
    <w:rsid w:val="004A3903"/>
    <w:rsid w:val="004A7A2D"/>
    <w:rsid w:val="004B0205"/>
    <w:rsid w:val="004B1312"/>
    <w:rsid w:val="004B1B7A"/>
    <w:rsid w:val="004C0186"/>
    <w:rsid w:val="004C18AB"/>
    <w:rsid w:val="004C36BD"/>
    <w:rsid w:val="004C6AE3"/>
    <w:rsid w:val="004C7641"/>
    <w:rsid w:val="004D0986"/>
    <w:rsid w:val="004D199A"/>
    <w:rsid w:val="004D53FD"/>
    <w:rsid w:val="004E2C50"/>
    <w:rsid w:val="004E4D58"/>
    <w:rsid w:val="004E6193"/>
    <w:rsid w:val="004F024E"/>
    <w:rsid w:val="004F23D1"/>
    <w:rsid w:val="004F288E"/>
    <w:rsid w:val="004F47CD"/>
    <w:rsid w:val="004F4896"/>
    <w:rsid w:val="0050615E"/>
    <w:rsid w:val="00506201"/>
    <w:rsid w:val="0050737A"/>
    <w:rsid w:val="005106E2"/>
    <w:rsid w:val="00510CC7"/>
    <w:rsid w:val="005116E1"/>
    <w:rsid w:val="00511C1C"/>
    <w:rsid w:val="00513170"/>
    <w:rsid w:val="005134EA"/>
    <w:rsid w:val="0051589E"/>
    <w:rsid w:val="00526833"/>
    <w:rsid w:val="0053148A"/>
    <w:rsid w:val="00533228"/>
    <w:rsid w:val="00536494"/>
    <w:rsid w:val="00536E8A"/>
    <w:rsid w:val="00536E8B"/>
    <w:rsid w:val="00540301"/>
    <w:rsid w:val="00543451"/>
    <w:rsid w:val="0054628C"/>
    <w:rsid w:val="00560B48"/>
    <w:rsid w:val="005811B5"/>
    <w:rsid w:val="00583BBF"/>
    <w:rsid w:val="005948A0"/>
    <w:rsid w:val="005965B9"/>
    <w:rsid w:val="0059725A"/>
    <w:rsid w:val="005A2C73"/>
    <w:rsid w:val="005B1FF5"/>
    <w:rsid w:val="005B7AB9"/>
    <w:rsid w:val="005C0031"/>
    <w:rsid w:val="005C2E7C"/>
    <w:rsid w:val="005C554A"/>
    <w:rsid w:val="005D000D"/>
    <w:rsid w:val="005D3958"/>
    <w:rsid w:val="005D517F"/>
    <w:rsid w:val="005D720E"/>
    <w:rsid w:val="005E0D71"/>
    <w:rsid w:val="005E18D2"/>
    <w:rsid w:val="005E2AAC"/>
    <w:rsid w:val="005E4CBF"/>
    <w:rsid w:val="005E5847"/>
    <w:rsid w:val="005E6BBB"/>
    <w:rsid w:val="005E6DFC"/>
    <w:rsid w:val="005F23B1"/>
    <w:rsid w:val="005F43C9"/>
    <w:rsid w:val="005F64E1"/>
    <w:rsid w:val="00603685"/>
    <w:rsid w:val="00604984"/>
    <w:rsid w:val="00605D7E"/>
    <w:rsid w:val="0061316F"/>
    <w:rsid w:val="00614D11"/>
    <w:rsid w:val="00615263"/>
    <w:rsid w:val="0062143F"/>
    <w:rsid w:val="00622F00"/>
    <w:rsid w:val="00630C79"/>
    <w:rsid w:val="00630F6B"/>
    <w:rsid w:val="006364D4"/>
    <w:rsid w:val="00645255"/>
    <w:rsid w:val="006638FC"/>
    <w:rsid w:val="0066782C"/>
    <w:rsid w:val="00671F50"/>
    <w:rsid w:val="00676D40"/>
    <w:rsid w:val="0067737C"/>
    <w:rsid w:val="00680676"/>
    <w:rsid w:val="00684303"/>
    <w:rsid w:val="006A1F8B"/>
    <w:rsid w:val="006A4A2C"/>
    <w:rsid w:val="006B2272"/>
    <w:rsid w:val="006B2629"/>
    <w:rsid w:val="006B4296"/>
    <w:rsid w:val="006B6DD2"/>
    <w:rsid w:val="006B7EA9"/>
    <w:rsid w:val="006C20CA"/>
    <w:rsid w:val="006C2215"/>
    <w:rsid w:val="006C2407"/>
    <w:rsid w:val="006D0299"/>
    <w:rsid w:val="006D1025"/>
    <w:rsid w:val="006D5273"/>
    <w:rsid w:val="006E2F47"/>
    <w:rsid w:val="00701396"/>
    <w:rsid w:val="00702112"/>
    <w:rsid w:val="00704071"/>
    <w:rsid w:val="0071442D"/>
    <w:rsid w:val="00714B10"/>
    <w:rsid w:val="00717C5B"/>
    <w:rsid w:val="00720729"/>
    <w:rsid w:val="00722AB8"/>
    <w:rsid w:val="007253EF"/>
    <w:rsid w:val="00725AA0"/>
    <w:rsid w:val="007265E9"/>
    <w:rsid w:val="00734953"/>
    <w:rsid w:val="00734A20"/>
    <w:rsid w:val="00737280"/>
    <w:rsid w:val="007405FE"/>
    <w:rsid w:val="00740EC4"/>
    <w:rsid w:val="00747F55"/>
    <w:rsid w:val="00747FA4"/>
    <w:rsid w:val="007525AA"/>
    <w:rsid w:val="00757363"/>
    <w:rsid w:val="00761EFF"/>
    <w:rsid w:val="007627E5"/>
    <w:rsid w:val="007640DC"/>
    <w:rsid w:val="00765A88"/>
    <w:rsid w:val="0076780C"/>
    <w:rsid w:val="0077290C"/>
    <w:rsid w:val="0077674E"/>
    <w:rsid w:val="00777DEB"/>
    <w:rsid w:val="00783CD6"/>
    <w:rsid w:val="00787AD7"/>
    <w:rsid w:val="00791CB5"/>
    <w:rsid w:val="007974B6"/>
    <w:rsid w:val="007A2B97"/>
    <w:rsid w:val="007A493C"/>
    <w:rsid w:val="007B14E9"/>
    <w:rsid w:val="007B558A"/>
    <w:rsid w:val="007B71D0"/>
    <w:rsid w:val="007C2C66"/>
    <w:rsid w:val="007C5533"/>
    <w:rsid w:val="007C6B9A"/>
    <w:rsid w:val="007D2179"/>
    <w:rsid w:val="007D36BB"/>
    <w:rsid w:val="007D3B82"/>
    <w:rsid w:val="007D5EFA"/>
    <w:rsid w:val="007D6090"/>
    <w:rsid w:val="007E18A5"/>
    <w:rsid w:val="007E2568"/>
    <w:rsid w:val="007E6449"/>
    <w:rsid w:val="007F1F15"/>
    <w:rsid w:val="007F3B31"/>
    <w:rsid w:val="007F48A9"/>
    <w:rsid w:val="007F5E07"/>
    <w:rsid w:val="007F7DFF"/>
    <w:rsid w:val="00800451"/>
    <w:rsid w:val="00805BD1"/>
    <w:rsid w:val="00805C28"/>
    <w:rsid w:val="00830761"/>
    <w:rsid w:val="0083105F"/>
    <w:rsid w:val="00837334"/>
    <w:rsid w:val="00837980"/>
    <w:rsid w:val="00841352"/>
    <w:rsid w:val="00855EEF"/>
    <w:rsid w:val="0085654D"/>
    <w:rsid w:val="00861B22"/>
    <w:rsid w:val="00861E70"/>
    <w:rsid w:val="00867DBC"/>
    <w:rsid w:val="00872D98"/>
    <w:rsid w:val="008763FE"/>
    <w:rsid w:val="008812E8"/>
    <w:rsid w:val="00881770"/>
    <w:rsid w:val="00881924"/>
    <w:rsid w:val="00883DEA"/>
    <w:rsid w:val="00884004"/>
    <w:rsid w:val="00885DCE"/>
    <w:rsid w:val="00886E15"/>
    <w:rsid w:val="0088728D"/>
    <w:rsid w:val="00895AD3"/>
    <w:rsid w:val="00897337"/>
    <w:rsid w:val="008A0C35"/>
    <w:rsid w:val="008A6533"/>
    <w:rsid w:val="008B3730"/>
    <w:rsid w:val="008B40FF"/>
    <w:rsid w:val="008C132C"/>
    <w:rsid w:val="008C1C23"/>
    <w:rsid w:val="008D1E27"/>
    <w:rsid w:val="008D4520"/>
    <w:rsid w:val="008E3FB6"/>
    <w:rsid w:val="008E4892"/>
    <w:rsid w:val="008E7830"/>
    <w:rsid w:val="008F2A50"/>
    <w:rsid w:val="008F2A52"/>
    <w:rsid w:val="008F2F4F"/>
    <w:rsid w:val="008F4D77"/>
    <w:rsid w:val="008F601D"/>
    <w:rsid w:val="008F6B61"/>
    <w:rsid w:val="00900C9B"/>
    <w:rsid w:val="009102B0"/>
    <w:rsid w:val="00910460"/>
    <w:rsid w:val="0091429D"/>
    <w:rsid w:val="00914499"/>
    <w:rsid w:val="00922522"/>
    <w:rsid w:val="00930D89"/>
    <w:rsid w:val="0093275A"/>
    <w:rsid w:val="00935485"/>
    <w:rsid w:val="00935804"/>
    <w:rsid w:val="009403E1"/>
    <w:rsid w:val="0094356C"/>
    <w:rsid w:val="00943AE6"/>
    <w:rsid w:val="00945A8C"/>
    <w:rsid w:val="00947F27"/>
    <w:rsid w:val="00953AA7"/>
    <w:rsid w:val="00954AB8"/>
    <w:rsid w:val="009565B2"/>
    <w:rsid w:val="00956B4C"/>
    <w:rsid w:val="009615D5"/>
    <w:rsid w:val="00963161"/>
    <w:rsid w:val="00963906"/>
    <w:rsid w:val="00963E2E"/>
    <w:rsid w:val="00966443"/>
    <w:rsid w:val="00970228"/>
    <w:rsid w:val="00975FE9"/>
    <w:rsid w:val="00977A80"/>
    <w:rsid w:val="009835DC"/>
    <w:rsid w:val="00987E20"/>
    <w:rsid w:val="00990B23"/>
    <w:rsid w:val="00995EE7"/>
    <w:rsid w:val="009971D2"/>
    <w:rsid w:val="009A10DF"/>
    <w:rsid w:val="009A64D5"/>
    <w:rsid w:val="009B0C88"/>
    <w:rsid w:val="009C3D51"/>
    <w:rsid w:val="009C448D"/>
    <w:rsid w:val="009C5EEF"/>
    <w:rsid w:val="009C67DE"/>
    <w:rsid w:val="009C6DCF"/>
    <w:rsid w:val="009C7DFF"/>
    <w:rsid w:val="009D2F17"/>
    <w:rsid w:val="009D31BC"/>
    <w:rsid w:val="009D6B91"/>
    <w:rsid w:val="009D7D8B"/>
    <w:rsid w:val="009E36BE"/>
    <w:rsid w:val="009E3C95"/>
    <w:rsid w:val="009E6A83"/>
    <w:rsid w:val="009F0BED"/>
    <w:rsid w:val="009F59D8"/>
    <w:rsid w:val="009F7B8B"/>
    <w:rsid w:val="00A06D39"/>
    <w:rsid w:val="00A10FB0"/>
    <w:rsid w:val="00A121C8"/>
    <w:rsid w:val="00A13E4B"/>
    <w:rsid w:val="00A231C2"/>
    <w:rsid w:val="00A32301"/>
    <w:rsid w:val="00A352B3"/>
    <w:rsid w:val="00A35799"/>
    <w:rsid w:val="00A401F8"/>
    <w:rsid w:val="00A40374"/>
    <w:rsid w:val="00A41176"/>
    <w:rsid w:val="00A4460A"/>
    <w:rsid w:val="00A51B92"/>
    <w:rsid w:val="00A52D03"/>
    <w:rsid w:val="00A607A9"/>
    <w:rsid w:val="00A624F5"/>
    <w:rsid w:val="00A630C0"/>
    <w:rsid w:val="00A64A27"/>
    <w:rsid w:val="00A65BFA"/>
    <w:rsid w:val="00A6712F"/>
    <w:rsid w:val="00A75318"/>
    <w:rsid w:val="00A75F1B"/>
    <w:rsid w:val="00A76CFA"/>
    <w:rsid w:val="00A82E04"/>
    <w:rsid w:val="00A924EC"/>
    <w:rsid w:val="00AA0F9F"/>
    <w:rsid w:val="00AA7C3F"/>
    <w:rsid w:val="00AB3272"/>
    <w:rsid w:val="00AB6C93"/>
    <w:rsid w:val="00AB7B9C"/>
    <w:rsid w:val="00AC0024"/>
    <w:rsid w:val="00AC1F5B"/>
    <w:rsid w:val="00AD0FA9"/>
    <w:rsid w:val="00AD154B"/>
    <w:rsid w:val="00AD3BAA"/>
    <w:rsid w:val="00AD4087"/>
    <w:rsid w:val="00AF24DE"/>
    <w:rsid w:val="00AF2C92"/>
    <w:rsid w:val="00AF2F3D"/>
    <w:rsid w:val="00AF38F8"/>
    <w:rsid w:val="00AF493D"/>
    <w:rsid w:val="00B00377"/>
    <w:rsid w:val="00B057DA"/>
    <w:rsid w:val="00B06E3B"/>
    <w:rsid w:val="00B102DA"/>
    <w:rsid w:val="00B1579B"/>
    <w:rsid w:val="00B204E8"/>
    <w:rsid w:val="00B21D3A"/>
    <w:rsid w:val="00B2359D"/>
    <w:rsid w:val="00B25DCB"/>
    <w:rsid w:val="00B265D3"/>
    <w:rsid w:val="00B2788D"/>
    <w:rsid w:val="00B34F5F"/>
    <w:rsid w:val="00B3616D"/>
    <w:rsid w:val="00B4048C"/>
    <w:rsid w:val="00B42183"/>
    <w:rsid w:val="00B51038"/>
    <w:rsid w:val="00B5705E"/>
    <w:rsid w:val="00B6055B"/>
    <w:rsid w:val="00B67176"/>
    <w:rsid w:val="00B7420F"/>
    <w:rsid w:val="00B7505B"/>
    <w:rsid w:val="00B758B9"/>
    <w:rsid w:val="00B834D4"/>
    <w:rsid w:val="00B850AC"/>
    <w:rsid w:val="00B875AE"/>
    <w:rsid w:val="00B90672"/>
    <w:rsid w:val="00B92B5F"/>
    <w:rsid w:val="00B943A3"/>
    <w:rsid w:val="00B974E6"/>
    <w:rsid w:val="00BA20E6"/>
    <w:rsid w:val="00BA3C19"/>
    <w:rsid w:val="00BA3C4D"/>
    <w:rsid w:val="00BB2C92"/>
    <w:rsid w:val="00BC2BCB"/>
    <w:rsid w:val="00BC30F5"/>
    <w:rsid w:val="00BC3E74"/>
    <w:rsid w:val="00BD6C64"/>
    <w:rsid w:val="00BD72F6"/>
    <w:rsid w:val="00BE1141"/>
    <w:rsid w:val="00BE3197"/>
    <w:rsid w:val="00BE4365"/>
    <w:rsid w:val="00BF0AE1"/>
    <w:rsid w:val="00BF0F19"/>
    <w:rsid w:val="00BF2FEC"/>
    <w:rsid w:val="00BF6033"/>
    <w:rsid w:val="00BF6BA6"/>
    <w:rsid w:val="00BF6D72"/>
    <w:rsid w:val="00C01640"/>
    <w:rsid w:val="00C13A4A"/>
    <w:rsid w:val="00C13DA8"/>
    <w:rsid w:val="00C20CFD"/>
    <w:rsid w:val="00C20EA4"/>
    <w:rsid w:val="00C224E5"/>
    <w:rsid w:val="00C2302E"/>
    <w:rsid w:val="00C2464B"/>
    <w:rsid w:val="00C31F1D"/>
    <w:rsid w:val="00C3288D"/>
    <w:rsid w:val="00C343C0"/>
    <w:rsid w:val="00C40729"/>
    <w:rsid w:val="00C40A4A"/>
    <w:rsid w:val="00C40E62"/>
    <w:rsid w:val="00C4648D"/>
    <w:rsid w:val="00C473AC"/>
    <w:rsid w:val="00C50880"/>
    <w:rsid w:val="00C50CD2"/>
    <w:rsid w:val="00C5160E"/>
    <w:rsid w:val="00C51FE1"/>
    <w:rsid w:val="00C52768"/>
    <w:rsid w:val="00C5650A"/>
    <w:rsid w:val="00C6056D"/>
    <w:rsid w:val="00C60613"/>
    <w:rsid w:val="00C60FA5"/>
    <w:rsid w:val="00C63BC4"/>
    <w:rsid w:val="00C70D15"/>
    <w:rsid w:val="00C71B3E"/>
    <w:rsid w:val="00C7286C"/>
    <w:rsid w:val="00C73B66"/>
    <w:rsid w:val="00C75158"/>
    <w:rsid w:val="00C75C83"/>
    <w:rsid w:val="00C80153"/>
    <w:rsid w:val="00C80760"/>
    <w:rsid w:val="00C836F1"/>
    <w:rsid w:val="00C85397"/>
    <w:rsid w:val="00C92C7C"/>
    <w:rsid w:val="00C930D9"/>
    <w:rsid w:val="00CA1AD6"/>
    <w:rsid w:val="00CB05FB"/>
    <w:rsid w:val="00CB0D95"/>
    <w:rsid w:val="00CB0FEB"/>
    <w:rsid w:val="00CB1C82"/>
    <w:rsid w:val="00CB5CDA"/>
    <w:rsid w:val="00CD118D"/>
    <w:rsid w:val="00CD6BA4"/>
    <w:rsid w:val="00CE414C"/>
    <w:rsid w:val="00CF3033"/>
    <w:rsid w:val="00CF3621"/>
    <w:rsid w:val="00CF4C02"/>
    <w:rsid w:val="00CF6913"/>
    <w:rsid w:val="00CF70E0"/>
    <w:rsid w:val="00CF74FD"/>
    <w:rsid w:val="00D04F67"/>
    <w:rsid w:val="00D051A0"/>
    <w:rsid w:val="00D15449"/>
    <w:rsid w:val="00D17887"/>
    <w:rsid w:val="00D2043B"/>
    <w:rsid w:val="00D231D9"/>
    <w:rsid w:val="00D300FA"/>
    <w:rsid w:val="00D32344"/>
    <w:rsid w:val="00D325AB"/>
    <w:rsid w:val="00D33802"/>
    <w:rsid w:val="00D36A1E"/>
    <w:rsid w:val="00D43734"/>
    <w:rsid w:val="00D46381"/>
    <w:rsid w:val="00D4752B"/>
    <w:rsid w:val="00D5130C"/>
    <w:rsid w:val="00D51F58"/>
    <w:rsid w:val="00D57A9B"/>
    <w:rsid w:val="00D61D8D"/>
    <w:rsid w:val="00D623C5"/>
    <w:rsid w:val="00D63ACB"/>
    <w:rsid w:val="00D670F7"/>
    <w:rsid w:val="00D714D7"/>
    <w:rsid w:val="00D736EF"/>
    <w:rsid w:val="00D746E1"/>
    <w:rsid w:val="00D74B3D"/>
    <w:rsid w:val="00D83435"/>
    <w:rsid w:val="00D84164"/>
    <w:rsid w:val="00D84B38"/>
    <w:rsid w:val="00D92678"/>
    <w:rsid w:val="00D93930"/>
    <w:rsid w:val="00D94BAE"/>
    <w:rsid w:val="00D973A7"/>
    <w:rsid w:val="00D978A5"/>
    <w:rsid w:val="00DA1685"/>
    <w:rsid w:val="00DB17DA"/>
    <w:rsid w:val="00DB32E8"/>
    <w:rsid w:val="00DB3CA6"/>
    <w:rsid w:val="00DB5C55"/>
    <w:rsid w:val="00DB684C"/>
    <w:rsid w:val="00DC331B"/>
    <w:rsid w:val="00DC68EA"/>
    <w:rsid w:val="00DC74B8"/>
    <w:rsid w:val="00DD5479"/>
    <w:rsid w:val="00DD5E02"/>
    <w:rsid w:val="00DE7495"/>
    <w:rsid w:val="00DF1FBF"/>
    <w:rsid w:val="00DF2D64"/>
    <w:rsid w:val="00E06E82"/>
    <w:rsid w:val="00E06EF8"/>
    <w:rsid w:val="00E14A6F"/>
    <w:rsid w:val="00E21DC0"/>
    <w:rsid w:val="00E259E8"/>
    <w:rsid w:val="00E2775E"/>
    <w:rsid w:val="00E30F56"/>
    <w:rsid w:val="00E3219A"/>
    <w:rsid w:val="00E33E7B"/>
    <w:rsid w:val="00E40FF6"/>
    <w:rsid w:val="00E4203C"/>
    <w:rsid w:val="00E4578E"/>
    <w:rsid w:val="00E457E2"/>
    <w:rsid w:val="00E46A5F"/>
    <w:rsid w:val="00E50587"/>
    <w:rsid w:val="00E528BF"/>
    <w:rsid w:val="00E55A85"/>
    <w:rsid w:val="00E67796"/>
    <w:rsid w:val="00E677FF"/>
    <w:rsid w:val="00E67985"/>
    <w:rsid w:val="00E733D3"/>
    <w:rsid w:val="00E75933"/>
    <w:rsid w:val="00E804E8"/>
    <w:rsid w:val="00E8787F"/>
    <w:rsid w:val="00E87AC2"/>
    <w:rsid w:val="00E95E33"/>
    <w:rsid w:val="00E967AA"/>
    <w:rsid w:val="00EA02B9"/>
    <w:rsid w:val="00EA25C8"/>
    <w:rsid w:val="00EA31BA"/>
    <w:rsid w:val="00EB48AF"/>
    <w:rsid w:val="00EB6262"/>
    <w:rsid w:val="00EB62F9"/>
    <w:rsid w:val="00EB73B7"/>
    <w:rsid w:val="00EC175B"/>
    <w:rsid w:val="00EC65C0"/>
    <w:rsid w:val="00EC732C"/>
    <w:rsid w:val="00EE0F84"/>
    <w:rsid w:val="00EE18A6"/>
    <w:rsid w:val="00EE3A5C"/>
    <w:rsid w:val="00EF350E"/>
    <w:rsid w:val="00EF54D5"/>
    <w:rsid w:val="00EF77A8"/>
    <w:rsid w:val="00EF7F58"/>
    <w:rsid w:val="00F0048E"/>
    <w:rsid w:val="00F04154"/>
    <w:rsid w:val="00F12AE6"/>
    <w:rsid w:val="00F16C9F"/>
    <w:rsid w:val="00F16CAA"/>
    <w:rsid w:val="00F175A7"/>
    <w:rsid w:val="00F17DB5"/>
    <w:rsid w:val="00F20362"/>
    <w:rsid w:val="00F220D6"/>
    <w:rsid w:val="00F255E8"/>
    <w:rsid w:val="00F27222"/>
    <w:rsid w:val="00F30F75"/>
    <w:rsid w:val="00F5074D"/>
    <w:rsid w:val="00F5241A"/>
    <w:rsid w:val="00F5267C"/>
    <w:rsid w:val="00F54A1E"/>
    <w:rsid w:val="00F63EF0"/>
    <w:rsid w:val="00F64DD8"/>
    <w:rsid w:val="00F65830"/>
    <w:rsid w:val="00F70213"/>
    <w:rsid w:val="00F70E0E"/>
    <w:rsid w:val="00F72751"/>
    <w:rsid w:val="00F7297E"/>
    <w:rsid w:val="00F732D3"/>
    <w:rsid w:val="00F73554"/>
    <w:rsid w:val="00F75338"/>
    <w:rsid w:val="00F816EB"/>
    <w:rsid w:val="00F81CB9"/>
    <w:rsid w:val="00F82D64"/>
    <w:rsid w:val="00F91821"/>
    <w:rsid w:val="00F9324C"/>
    <w:rsid w:val="00F93BAE"/>
    <w:rsid w:val="00FA12B7"/>
    <w:rsid w:val="00FA20F8"/>
    <w:rsid w:val="00FA2E3C"/>
    <w:rsid w:val="00FA4541"/>
    <w:rsid w:val="00FA79EA"/>
    <w:rsid w:val="00FB1797"/>
    <w:rsid w:val="00FB2A97"/>
    <w:rsid w:val="00FB6874"/>
    <w:rsid w:val="00FB6FBD"/>
    <w:rsid w:val="00FC097F"/>
    <w:rsid w:val="00FC2D84"/>
    <w:rsid w:val="00FC3AA5"/>
    <w:rsid w:val="00FC5F19"/>
    <w:rsid w:val="00FC63B8"/>
    <w:rsid w:val="00FD0B00"/>
    <w:rsid w:val="00FD1AEA"/>
    <w:rsid w:val="00FD1EB8"/>
    <w:rsid w:val="00FD4027"/>
    <w:rsid w:val="00FD7223"/>
    <w:rsid w:val="00FE3A0D"/>
    <w:rsid w:val="00FE682A"/>
    <w:rsid w:val="00FE781E"/>
    <w:rsid w:val="00FF51D2"/>
    <w:rsid w:val="00FF77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basedOn w:val="a1"/>
    <w:rsid w:val="00DC331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link w:val="20"/>
    <w:qFormat/>
    <w:rsid w:val="00EF54D5"/>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pPr>
      <w:spacing w:line="360" w:lineRule="exact"/>
      <w:jc w:val="both"/>
    </w:pPr>
    <w:rPr>
      <w:rFonts w:ascii="標楷體" w:eastAsia="標楷體"/>
    </w:rPr>
  </w:style>
  <w:style w:type="paragraph" w:styleId="a6">
    <w:name w:val="Plain Text"/>
    <w:basedOn w:val="a"/>
    <w:rPr>
      <w:rFonts w:ascii="細明體" w:eastAsia="細明體" w:hAnsi="Courier New"/>
      <w:szCs w:val="20"/>
    </w:rPr>
  </w:style>
  <w:style w:type="paragraph" w:styleId="21">
    <w:name w:val="Body Text 2"/>
    <w:basedOn w:val="a"/>
    <w:pPr>
      <w:ind w:rightChars="-439" w:right="-1054"/>
    </w:pPr>
    <w:rPr>
      <w:rFonts w:ascii="標楷體" w:eastAsia="標楷體"/>
    </w:rPr>
  </w:style>
  <w:style w:type="paragraph" w:styleId="3">
    <w:name w:val="Body Text 3"/>
    <w:basedOn w:val="a"/>
    <w:pPr>
      <w:spacing w:line="500" w:lineRule="exact"/>
      <w:jc w:val="both"/>
    </w:pPr>
    <w:rPr>
      <w:rFonts w:ascii="標楷體" w:eastAsia="標楷體"/>
      <w:sz w:val="28"/>
    </w:r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Body Text Indent"/>
    <w:basedOn w:val="a"/>
    <w:pPr>
      <w:spacing w:beforeLines="25" w:before="90" w:line="500" w:lineRule="exact"/>
      <w:ind w:firstLineChars="200" w:firstLine="560"/>
      <w:jc w:val="both"/>
    </w:pPr>
    <w:rPr>
      <w:rFonts w:ascii="標楷體" w:eastAsia="標楷體"/>
      <w:sz w:val="28"/>
    </w:rPr>
  </w:style>
  <w:style w:type="paragraph" w:styleId="ab">
    <w:name w:val="Block Text"/>
    <w:basedOn w:val="a"/>
    <w:pPr>
      <w:kinsoku w:val="0"/>
      <w:adjustRightInd w:val="0"/>
      <w:spacing w:line="360" w:lineRule="atLeast"/>
      <w:ind w:left="960" w:right="1055" w:hanging="960"/>
      <w:textAlignment w:val="baseline"/>
    </w:pPr>
    <w:rPr>
      <w:rFonts w:ascii="標楷體" w:eastAsia="標楷體"/>
      <w:kern w:val="0"/>
      <w:sz w:val="32"/>
      <w:szCs w:val="20"/>
    </w:rPr>
  </w:style>
  <w:style w:type="paragraph" w:styleId="ac">
    <w:name w:val="header"/>
    <w:aliases w:val="頁首 字元 字元,頁首 字元 字元 字元"/>
    <w:basedOn w:val="a"/>
    <w:pPr>
      <w:tabs>
        <w:tab w:val="center" w:pos="4153"/>
        <w:tab w:val="right" w:pos="8306"/>
      </w:tabs>
      <w:snapToGrid w:val="0"/>
    </w:pPr>
    <w:rPr>
      <w:sz w:val="20"/>
      <w:szCs w:val="20"/>
    </w:rPr>
  </w:style>
  <w:style w:type="paragraph" w:styleId="22">
    <w:name w:val="Body Text Indent 2"/>
    <w:basedOn w:val="a"/>
    <w:pPr>
      <w:spacing w:line="360" w:lineRule="auto"/>
      <w:ind w:firstLine="840"/>
      <w:jc w:val="both"/>
    </w:pPr>
    <w:rPr>
      <w:rFonts w:ascii="標楷體" w:eastAsia="標楷體"/>
      <w:sz w:val="28"/>
    </w:rPr>
  </w:style>
  <w:style w:type="paragraph" w:styleId="30">
    <w:name w:val="Body Text Indent 3"/>
    <w:basedOn w:val="a"/>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d">
    <w:name w:val="內文表格"/>
    <w:basedOn w:val="a"/>
    <w:pPr>
      <w:spacing w:beforeLines="10" w:before="54"/>
      <w:jc w:val="both"/>
    </w:pPr>
    <w:rPr>
      <w:rFonts w:ascii="標楷體" w:eastAsia="標楷體"/>
    </w:rPr>
  </w:style>
  <w:style w:type="paragraph" w:customStyle="1" w:styleId="11">
    <w:name w:val="1."/>
    <w:basedOn w:val="a"/>
    <w:autoRedefine/>
    <w:pPr>
      <w:spacing w:line="400" w:lineRule="exact"/>
      <w:ind w:firstLineChars="500" w:firstLine="1200"/>
      <w:jc w:val="both"/>
    </w:pPr>
    <w:rPr>
      <w:rFonts w:ascii="標楷體" w:eastAsia="標楷體"/>
    </w:rPr>
  </w:style>
  <w:style w:type="paragraph" w:customStyle="1" w:styleId="ae">
    <w:name w:val="註"/>
    <w:basedOn w:val="10"/>
    <w:pPr>
      <w:spacing w:beforeLines="0" w:before="0" w:line="280" w:lineRule="exact"/>
      <w:ind w:left="20"/>
      <w:jc w:val="both"/>
    </w:pPr>
    <w:rPr>
      <w:sz w:val="18"/>
    </w:rPr>
  </w:style>
  <w:style w:type="paragraph" w:customStyle="1" w:styleId="af">
    <w:name w:val="表格數字"/>
    <w:basedOn w:val="10"/>
    <w:pPr>
      <w:spacing w:beforeLines="0" w:before="0"/>
      <w:ind w:rightChars="20" w:right="48"/>
      <w:jc w:val="right"/>
    </w:pPr>
    <w:rPr>
      <w:sz w:val="18"/>
    </w:rPr>
  </w:style>
  <w:style w:type="paragraph" w:customStyle="1" w:styleId="af0">
    <w:name w:val="表頭"/>
    <w:basedOn w:val="a"/>
    <w:autoRedefine/>
    <w:pPr>
      <w:spacing w:line="400" w:lineRule="exact"/>
      <w:jc w:val="center"/>
    </w:pPr>
    <w:rPr>
      <w:rFonts w:ascii="標楷體" w:eastAsia="標楷體"/>
      <w:spacing w:val="20"/>
      <w:sz w:val="32"/>
      <w:u w:val="single"/>
    </w:rPr>
  </w:style>
  <w:style w:type="paragraph" w:customStyle="1" w:styleId="af1">
    <w:name w:val="中華民國"/>
    <w:basedOn w:val="a"/>
    <w:autoRedefine/>
    <w:pPr>
      <w:spacing w:line="400" w:lineRule="exact"/>
      <w:jc w:val="center"/>
    </w:pPr>
    <w:rPr>
      <w:rFonts w:ascii="標楷體" w:eastAsia="標楷體"/>
      <w:spacing w:val="80"/>
    </w:rPr>
  </w:style>
  <w:style w:type="paragraph" w:customStyle="1" w:styleId="af2">
    <w:name w:val="表格單位"/>
    <w:basedOn w:val="a"/>
    <w:autoRedefine/>
    <w:pPr>
      <w:snapToGrid w:val="0"/>
      <w:spacing w:afterLines="10" w:after="54"/>
      <w:ind w:leftChars="20" w:left="48" w:rightChars="20" w:right="48"/>
      <w:jc w:val="right"/>
    </w:pPr>
    <w:rPr>
      <w:rFonts w:ascii="標楷體" w:eastAsia="標楷體"/>
      <w:kern w:val="0"/>
    </w:rPr>
  </w:style>
  <w:style w:type="paragraph" w:customStyle="1" w:styleId="af3">
    <w:name w:val="敬啟者："/>
    <w:pPr>
      <w:widowControl w:val="0"/>
    </w:pPr>
    <w:rPr>
      <w:kern w:val="2"/>
      <w:sz w:val="24"/>
      <w:szCs w:val="24"/>
    </w:rPr>
  </w:style>
  <w:style w:type="paragraph" w:customStyle="1" w:styleId="af4">
    <w:name w:val="內文之表頭"/>
    <w:basedOn w:val="af5"/>
    <w:pPr>
      <w:ind w:rightChars="20" w:right="48"/>
      <w:jc w:val="distribute"/>
    </w:pPr>
  </w:style>
  <w:style w:type="paragraph" w:customStyle="1" w:styleId="af5">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6">
    <w:name w:val="甲乙丙"/>
    <w:basedOn w:val="a"/>
    <w:rsid w:val="002357ED"/>
    <w:pPr>
      <w:spacing w:after="360" w:line="360" w:lineRule="auto"/>
      <w:jc w:val="center"/>
    </w:pPr>
    <w:rPr>
      <w:rFonts w:ascii="標楷體" w:eastAsia="標楷體"/>
      <w:b/>
      <w:spacing w:val="-10"/>
      <w:sz w:val="40"/>
      <w:szCs w:val="20"/>
    </w:rPr>
  </w:style>
  <w:style w:type="table" w:styleId="af7">
    <w:name w:val="Table Grid"/>
    <w:basedOn w:val="a1"/>
    <w:rsid w:val="00DC331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
    <w:semiHidden/>
    <w:rsid w:val="00583BBF"/>
    <w:rPr>
      <w:rFonts w:ascii="Arial" w:hAnsi="Arial"/>
      <w:sz w:val="18"/>
      <w:szCs w:val="18"/>
    </w:rPr>
  </w:style>
  <w:style w:type="paragraph" w:customStyle="1" w:styleId="-A">
    <w:name w:val="註-A"/>
    <w:basedOn w:val="ae"/>
    <w:rsid w:val="00970228"/>
    <w:pPr>
      <w:spacing w:line="240" w:lineRule="exact"/>
      <w:ind w:leftChars="0" w:left="806" w:hanging="403"/>
    </w:pPr>
    <w:rPr>
      <w:sz w:val="20"/>
    </w:rPr>
  </w:style>
  <w:style w:type="character" w:customStyle="1" w:styleId="20">
    <w:name w:val="標題 2 字元"/>
    <w:link w:val="2"/>
    <w:uiPriority w:val="9"/>
    <w:semiHidden/>
    <w:rsid w:val="00EF54D5"/>
    <w:rPr>
      <w:rFonts w:ascii="Cambria" w:eastAsia="新細明體" w:hAnsi="Cambria" w:cs="Times New Roman"/>
      <w:b/>
      <w:bCs/>
      <w:kern w:val="2"/>
      <w:sz w:val="48"/>
      <w:szCs w:val="48"/>
    </w:rPr>
  </w:style>
  <w:style w:type="paragraph" w:customStyle="1" w:styleId="13">
    <w:name w:val="字元 字元1 字元 字元 字元 字元 字元 字元"/>
    <w:basedOn w:val="a"/>
    <w:rsid w:val="00EF54D5"/>
    <w:pPr>
      <w:widowControl/>
      <w:spacing w:after="160" w:line="240" w:lineRule="exact"/>
    </w:pPr>
    <w:rPr>
      <w:rFonts w:ascii="Verdana" w:hAnsi="Verdana"/>
      <w:kern w:val="0"/>
      <w:sz w:val="20"/>
      <w:szCs w:val="20"/>
      <w:lang w:eastAsia="en-US"/>
    </w:rPr>
  </w:style>
  <w:style w:type="character" w:customStyle="1" w:styleId="a8">
    <w:name w:val="頁尾 字元"/>
    <w:link w:val="a7"/>
    <w:uiPriority w:val="99"/>
    <w:rsid w:val="003819A6"/>
    <w:rPr>
      <w:kern w:val="2"/>
    </w:rPr>
  </w:style>
  <w:style w:type="paragraph" w:customStyle="1" w:styleId="Default">
    <w:name w:val="Default"/>
    <w:rsid w:val="00430E87"/>
    <w:pPr>
      <w:widowControl w:val="0"/>
      <w:autoSpaceDE w:val="0"/>
      <w:autoSpaceDN w:val="0"/>
      <w:adjustRightInd w:val="0"/>
    </w:pPr>
    <w:rPr>
      <w:rFonts w:ascii="標楷體" w:eastAsia="標楷體" w:hAnsi="Calibri" w:cs="標楷體"/>
      <w:color w:val="000000"/>
      <w:sz w:val="24"/>
      <w:szCs w:val="24"/>
    </w:rPr>
  </w:style>
  <w:style w:type="paragraph" w:customStyle="1" w:styleId="af9">
    <w:name w:val="標題（一）"/>
    <w:basedOn w:val="a"/>
    <w:rsid w:val="00BA20E6"/>
    <w:pPr>
      <w:spacing w:beforeLines="20" w:before="20" w:afterLines="20" w:after="20" w:line="400" w:lineRule="exact"/>
      <w:ind w:firstLineChars="200" w:firstLine="200"/>
      <w:jc w:val="both"/>
    </w:pPr>
    <w:rPr>
      <w:rFonts w:eastAsia="標楷體" w:cs="新細明體"/>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1" Type="http://schemas.openxmlformats.org/officeDocument/2006/relationships/oleObject" Target="file:///D:\&#36001;&#21209;&#25910;&#25903;&#25277;&#26597;\110-1&#36001;&#25277;\&#25976;&#25818;&#20998;&#2651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36001;&#21209;&#25910;&#25903;&#25277;&#26597;\110-1&#36001;&#25277;\&#25976;&#25818;&#20998;&#26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24566194388998"/>
          <c:y val="0.13516720117552389"/>
          <c:w val="0.8212098655048945"/>
          <c:h val="0.74125105402548663"/>
        </c:manualLayout>
      </c:layout>
      <c:lineChart>
        <c:grouping val="standard"/>
        <c:varyColors val="0"/>
        <c:ser>
          <c:idx val="1"/>
          <c:order val="0"/>
          <c:tx>
            <c:strRef>
              <c:f>健保基金財務!$B$1</c:f>
              <c:strCache>
                <c:ptCount val="1"/>
                <c:pt idx="0">
                  <c:v>健保安全準備餘額</c:v>
                </c:pt>
              </c:strCache>
            </c:strRef>
          </c:tx>
          <c:spPr>
            <a:ln w="25400">
              <a:solidFill>
                <a:schemeClr val="tx1">
                  <a:lumMod val="50000"/>
                  <a:lumOff val="50000"/>
                </a:schemeClr>
              </a:solidFill>
            </a:ln>
          </c:spPr>
          <c:marker>
            <c:symbol val="square"/>
            <c:size val="5"/>
            <c:spPr>
              <a:solidFill>
                <a:schemeClr val="tx1">
                  <a:lumMod val="50000"/>
                  <a:lumOff val="50000"/>
                </a:schemeClr>
              </a:solidFill>
              <a:ln>
                <a:solidFill>
                  <a:schemeClr val="tx1">
                    <a:lumMod val="50000"/>
                    <a:lumOff val="50000"/>
                  </a:schemeClr>
                </a:solidFill>
              </a:ln>
            </c:spPr>
          </c:marker>
          <c:dLbls>
            <c:dLbl>
              <c:idx val="0"/>
              <c:layout>
                <c:manualLayout>
                  <c:x val="-4.4768249225456462E-2"/>
                  <c:y val="6.7283464566929241E-2"/>
                </c:manualLayout>
              </c:layout>
              <c:dLblPos val="r"/>
              <c:showLegendKey val="0"/>
              <c:showVal val="1"/>
              <c:showCatName val="0"/>
              <c:showSerName val="0"/>
              <c:showPercent val="0"/>
              <c:showBubbleSize val="0"/>
            </c:dLbl>
            <c:dLbl>
              <c:idx val="1"/>
              <c:layout>
                <c:manualLayout>
                  <c:x val="-4.073412465232891E-2"/>
                  <c:y val="-8.758452734391807E-2"/>
                </c:manualLayout>
              </c:layout>
              <c:dLblPos val="r"/>
              <c:showLegendKey val="0"/>
              <c:showVal val="1"/>
              <c:showCatName val="0"/>
              <c:showSerName val="0"/>
              <c:showPercent val="0"/>
              <c:showBubbleSize val="0"/>
            </c:dLbl>
            <c:dLbl>
              <c:idx val="2"/>
              <c:layout>
                <c:manualLayout>
                  <c:x val="-4.9403677702214127E-2"/>
                  <c:y val="-7.9668610968755785E-2"/>
                </c:manualLayout>
              </c:layout>
              <c:dLblPos val="r"/>
              <c:showLegendKey val="0"/>
              <c:showVal val="1"/>
              <c:showCatName val="0"/>
              <c:showSerName val="0"/>
              <c:showPercent val="0"/>
              <c:showBubbleSize val="0"/>
            </c:dLbl>
            <c:dLbl>
              <c:idx val="3"/>
              <c:layout>
                <c:manualLayout>
                  <c:x val="-6.7617501703136101E-2"/>
                  <c:y val="-9.5162450545498198E-2"/>
                </c:manualLayout>
              </c:layout>
              <c:dLblPos val="r"/>
              <c:showLegendKey val="0"/>
              <c:showVal val="1"/>
              <c:showCatName val="0"/>
              <c:showSerName val="0"/>
              <c:showPercent val="0"/>
              <c:showBubbleSize val="0"/>
            </c:dLbl>
            <c:dLbl>
              <c:idx val="5"/>
              <c:layout>
                <c:manualLayout>
                  <c:x val="-5.674948874003502E-2"/>
                  <c:y val="-5.962859311260791E-2"/>
                </c:manualLayout>
              </c:layout>
              <c:dLblPos val="r"/>
              <c:showLegendKey val="0"/>
              <c:showVal val="1"/>
              <c:showCatName val="0"/>
              <c:showSerName val="0"/>
              <c:showPercent val="0"/>
              <c:showBubbleSize val="0"/>
            </c:dLbl>
            <c:dLbl>
              <c:idx val="6"/>
              <c:layout>
                <c:manualLayout>
                  <c:x val="-4.5771054341757315E-2"/>
                  <c:y val="-6.8865719820611043E-2"/>
                </c:manualLayout>
              </c:layout>
              <c:dLblPos val="r"/>
              <c:showLegendKey val="0"/>
              <c:showVal val="1"/>
              <c:showCatName val="0"/>
              <c:showSerName val="0"/>
              <c:showPercent val="0"/>
              <c:showBubbleSize val="0"/>
            </c:dLbl>
            <c:dLbl>
              <c:idx val="7"/>
              <c:layout>
                <c:manualLayout>
                  <c:x val="-5.207488011578016E-2"/>
                  <c:y val="-5.9368438837148381E-2"/>
                </c:manualLayout>
              </c:layout>
              <c:dLblPos val="r"/>
              <c:showLegendKey val="0"/>
              <c:showVal val="1"/>
              <c:showCatName val="0"/>
              <c:showSerName val="0"/>
              <c:showPercent val="0"/>
              <c:showBubbleSize val="0"/>
            </c:dLbl>
            <c:dLbl>
              <c:idx val="8"/>
              <c:layout>
                <c:manualLayout>
                  <c:x val="-4.8965932049166536E-2"/>
                  <c:y val="-5.9368438837148381E-2"/>
                </c:manualLayout>
              </c:layout>
              <c:dLblPos val="r"/>
              <c:showLegendKey val="0"/>
              <c:showVal val="1"/>
              <c:showCatName val="0"/>
              <c:showSerName val="0"/>
              <c:showPercent val="0"/>
              <c:showBubbleSize val="0"/>
            </c:dLbl>
            <c:dLbl>
              <c:idx val="9"/>
              <c:layout>
                <c:manualLayout>
                  <c:x val="-3.2842241938338658E-2"/>
                  <c:y val="-5.9368438837148436E-2"/>
                </c:manualLayout>
              </c:layout>
              <c:dLblPos val="r"/>
              <c:showLegendKey val="0"/>
              <c:showVal val="1"/>
              <c:showCatName val="0"/>
              <c:showSerName val="0"/>
              <c:showPercent val="0"/>
              <c:showBubbleSize val="0"/>
            </c:dLbl>
            <c:numFmt formatCode="#,##0_ " sourceLinked="0"/>
            <c:txPr>
              <a:bodyPr/>
              <a:lstStyle/>
              <a:p>
                <a:pPr>
                  <a:defRPr sz="900">
                    <a:latin typeface="標楷體" pitchFamily="65" charset="-120"/>
                    <a:ea typeface="標楷體" pitchFamily="65" charset="-120"/>
                  </a:defRPr>
                </a:pPr>
                <a:endParaRPr lang="zh-TW"/>
              </a:p>
            </c:txPr>
            <c:dLblPos val="t"/>
            <c:showLegendKey val="0"/>
            <c:showVal val="1"/>
            <c:showCatName val="0"/>
            <c:showSerName val="0"/>
            <c:showPercent val="0"/>
            <c:showBubbleSize val="0"/>
            <c:showLeaderLines val="0"/>
          </c:dLbls>
          <c:cat>
            <c:numRef>
              <c:f>健保基金財務!$A$5:$A$14</c:f>
              <c:numCache>
                <c:formatCode>General</c:formatCode>
                <c:ptCount val="10"/>
                <c:pt idx="0">
                  <c:v>100</c:v>
                </c:pt>
                <c:pt idx="1">
                  <c:v>101</c:v>
                </c:pt>
                <c:pt idx="2">
                  <c:v>102</c:v>
                </c:pt>
                <c:pt idx="3">
                  <c:v>103</c:v>
                </c:pt>
                <c:pt idx="4">
                  <c:v>104</c:v>
                </c:pt>
                <c:pt idx="5">
                  <c:v>105</c:v>
                </c:pt>
                <c:pt idx="6">
                  <c:v>106</c:v>
                </c:pt>
                <c:pt idx="7">
                  <c:v>107</c:v>
                </c:pt>
                <c:pt idx="8">
                  <c:v>108</c:v>
                </c:pt>
                <c:pt idx="9">
                  <c:v>109</c:v>
                </c:pt>
              </c:numCache>
            </c:numRef>
          </c:cat>
          <c:val>
            <c:numRef>
              <c:f>健保基金財務!$B$5:$B$14</c:f>
              <c:numCache>
                <c:formatCode>General</c:formatCode>
                <c:ptCount val="10"/>
                <c:pt idx="0">
                  <c:v>-55</c:v>
                </c:pt>
                <c:pt idx="1">
                  <c:v>210</c:v>
                </c:pt>
                <c:pt idx="2">
                  <c:v>745</c:v>
                </c:pt>
                <c:pt idx="3" formatCode="#,##0">
                  <c:v>1259</c:v>
                </c:pt>
                <c:pt idx="4" formatCode="#,##0">
                  <c:v>2288</c:v>
                </c:pt>
                <c:pt idx="5" formatCode="#,##0">
                  <c:v>2474</c:v>
                </c:pt>
                <c:pt idx="6" formatCode="#,##0">
                  <c:v>2375</c:v>
                </c:pt>
                <c:pt idx="7" formatCode="#,##0">
                  <c:v>2109</c:v>
                </c:pt>
                <c:pt idx="8" formatCode="#,##0">
                  <c:v>1767</c:v>
                </c:pt>
                <c:pt idx="9" formatCode="#,##0">
                  <c:v>1091</c:v>
                </c:pt>
              </c:numCache>
            </c:numRef>
          </c:val>
          <c:smooth val="0"/>
        </c:ser>
        <c:ser>
          <c:idx val="0"/>
          <c:order val="1"/>
          <c:tx>
            <c:strRef>
              <c:f>健保基金財務!$C$1</c:f>
              <c:strCache>
                <c:ptCount val="1"/>
                <c:pt idx="0">
                  <c:v>保險收支淨餘絀</c:v>
                </c:pt>
              </c:strCache>
            </c:strRef>
          </c:tx>
          <c:spPr>
            <a:ln w="25400">
              <a:solidFill>
                <a:schemeClr val="tx1">
                  <a:lumMod val="50000"/>
                  <a:lumOff val="50000"/>
                </a:schemeClr>
              </a:solidFill>
              <a:prstDash val="dash"/>
            </a:ln>
          </c:spPr>
          <c:marker>
            <c:symbol val="diamond"/>
            <c:size val="5"/>
            <c:spPr>
              <a:solidFill>
                <a:schemeClr val="tx1">
                  <a:lumMod val="50000"/>
                  <a:lumOff val="50000"/>
                </a:schemeClr>
              </a:solidFill>
              <a:ln>
                <a:solidFill>
                  <a:schemeClr val="tx1">
                    <a:lumMod val="50000"/>
                    <a:lumOff val="50000"/>
                  </a:schemeClr>
                </a:solidFill>
              </a:ln>
            </c:spPr>
          </c:marker>
          <c:dLbls>
            <c:dLbl>
              <c:idx val="1"/>
              <c:layout>
                <c:manualLayout>
                  <c:x val="6.5297528107494023E-3"/>
                  <c:y val="1.2961920743513619E-2"/>
                </c:manualLayout>
              </c:layout>
              <c:dLblPos val="r"/>
              <c:showLegendKey val="0"/>
              <c:showVal val="1"/>
              <c:showCatName val="0"/>
              <c:showSerName val="0"/>
              <c:showPercent val="0"/>
              <c:showBubbleSize val="0"/>
            </c:dLbl>
            <c:dLbl>
              <c:idx val="2"/>
              <c:layout>
                <c:manualLayout>
                  <c:x val="-2.0748433959211148E-2"/>
                  <c:y val="3.9159108080505114E-2"/>
                </c:manualLayout>
              </c:layout>
              <c:dLblPos val="r"/>
              <c:showLegendKey val="0"/>
              <c:showVal val="1"/>
              <c:showCatName val="0"/>
              <c:showSerName val="0"/>
              <c:showPercent val="0"/>
              <c:showBubbleSize val="0"/>
            </c:dLbl>
            <c:dLbl>
              <c:idx val="3"/>
              <c:layout>
                <c:manualLayout>
                  <c:x val="-4.7411702814919916E-2"/>
                  <c:y val="-4.7313933489504037E-2"/>
                </c:manualLayout>
              </c:layout>
              <c:dLblPos val="r"/>
              <c:showLegendKey val="0"/>
              <c:showVal val="1"/>
              <c:showCatName val="0"/>
              <c:showSerName val="0"/>
              <c:showPercent val="0"/>
              <c:showBubbleSize val="0"/>
            </c:dLbl>
            <c:dLbl>
              <c:idx val="4"/>
              <c:layout>
                <c:manualLayout>
                  <c:x val="-5.5183828182393903E-2"/>
                  <c:y val="-4.7313933489504037E-2"/>
                </c:manualLayout>
              </c:layout>
              <c:dLblPos val="r"/>
              <c:showLegendKey val="0"/>
              <c:showVal val="1"/>
              <c:showCatName val="0"/>
              <c:showSerName val="0"/>
              <c:showPercent val="0"/>
              <c:showBubbleSize val="0"/>
            </c:dLbl>
            <c:dLbl>
              <c:idx val="5"/>
              <c:layout>
                <c:manualLayout>
                  <c:x val="-2.5649066348623729E-2"/>
                  <c:y val="-5.3341186163326205E-2"/>
                </c:manualLayout>
              </c:layout>
              <c:dLblPos val="r"/>
              <c:showLegendKey val="0"/>
              <c:showVal val="1"/>
              <c:showCatName val="0"/>
              <c:showSerName val="0"/>
              <c:showPercent val="0"/>
              <c:showBubbleSize val="0"/>
            </c:dLbl>
            <c:dLbl>
              <c:idx val="6"/>
              <c:layout>
                <c:manualLayout>
                  <c:x val="-5.9611319969140715E-2"/>
                  <c:y val="6.7771084337349394E-2"/>
                </c:manualLayout>
              </c:layout>
              <c:dLblPos val="r"/>
              <c:showLegendKey val="0"/>
              <c:showVal val="1"/>
              <c:showCatName val="0"/>
              <c:showSerName val="0"/>
              <c:showPercent val="0"/>
              <c:showBubbleSize val="0"/>
            </c:dLbl>
            <c:dLbl>
              <c:idx val="7"/>
              <c:layout>
                <c:manualLayout>
                  <c:x val="-5.4205121539061485E-2"/>
                  <c:y val="6.8571151955107879E-2"/>
                </c:manualLayout>
              </c:layout>
              <c:dLblPos val="r"/>
              <c:showLegendKey val="0"/>
              <c:showVal val="1"/>
              <c:showCatName val="0"/>
              <c:showSerName val="0"/>
              <c:showPercent val="0"/>
              <c:showBubbleSize val="0"/>
            </c:dLbl>
            <c:dLbl>
              <c:idx val="8"/>
              <c:layout>
                <c:manualLayout>
                  <c:x val="-5.2543530097953442E-2"/>
                  <c:y val="6.9527240269055338E-2"/>
                </c:manualLayout>
              </c:layout>
              <c:dLblPos val="r"/>
              <c:showLegendKey val="0"/>
              <c:showVal val="1"/>
              <c:showCatName val="0"/>
              <c:showSerName val="0"/>
              <c:showPercent val="0"/>
              <c:showBubbleSize val="0"/>
            </c:dLbl>
            <c:dLbl>
              <c:idx val="9"/>
              <c:layout>
                <c:manualLayout>
                  <c:x val="-1.2470064134905824E-2"/>
                  <c:y val="1.0265313018486107E-2"/>
                </c:manualLayout>
              </c:layout>
              <c:dLblPos val="r"/>
              <c:showLegendKey val="0"/>
              <c:showVal val="1"/>
              <c:showCatName val="0"/>
              <c:showSerName val="0"/>
              <c:showPercent val="0"/>
              <c:showBubbleSize val="0"/>
            </c:dLbl>
            <c:numFmt formatCode="#,##0_ " sourceLinked="0"/>
            <c:txPr>
              <a:bodyPr/>
              <a:lstStyle/>
              <a:p>
                <a:pPr>
                  <a:defRPr sz="900">
                    <a:latin typeface="標楷體" pitchFamily="65" charset="-120"/>
                    <a:ea typeface="標楷體" pitchFamily="65" charset="-120"/>
                  </a:defRPr>
                </a:pPr>
                <a:endParaRPr lang="zh-TW"/>
              </a:p>
            </c:txPr>
            <c:dLblPos val="t"/>
            <c:showLegendKey val="0"/>
            <c:showVal val="1"/>
            <c:showCatName val="0"/>
            <c:showSerName val="0"/>
            <c:showPercent val="0"/>
            <c:showBubbleSize val="0"/>
            <c:showLeaderLines val="0"/>
          </c:dLbls>
          <c:cat>
            <c:numRef>
              <c:f>健保基金財務!$A$5:$A$14</c:f>
              <c:numCache>
                <c:formatCode>General</c:formatCode>
                <c:ptCount val="10"/>
                <c:pt idx="0">
                  <c:v>100</c:v>
                </c:pt>
                <c:pt idx="1">
                  <c:v>101</c:v>
                </c:pt>
                <c:pt idx="2">
                  <c:v>102</c:v>
                </c:pt>
                <c:pt idx="3">
                  <c:v>103</c:v>
                </c:pt>
                <c:pt idx="4">
                  <c:v>104</c:v>
                </c:pt>
                <c:pt idx="5">
                  <c:v>105</c:v>
                </c:pt>
                <c:pt idx="6">
                  <c:v>106</c:v>
                </c:pt>
                <c:pt idx="7">
                  <c:v>107</c:v>
                </c:pt>
                <c:pt idx="8">
                  <c:v>108</c:v>
                </c:pt>
                <c:pt idx="9">
                  <c:v>109</c:v>
                </c:pt>
              </c:numCache>
            </c:numRef>
          </c:cat>
          <c:val>
            <c:numRef>
              <c:f>健保基金財務!$C$5:$C$14</c:f>
              <c:numCache>
                <c:formatCode>General</c:formatCode>
                <c:ptCount val="10"/>
                <c:pt idx="0">
                  <c:v>341</c:v>
                </c:pt>
                <c:pt idx="1">
                  <c:v>265</c:v>
                </c:pt>
                <c:pt idx="2">
                  <c:v>535</c:v>
                </c:pt>
                <c:pt idx="3">
                  <c:v>513</c:v>
                </c:pt>
                <c:pt idx="4" formatCode="#,##0">
                  <c:v>1028</c:v>
                </c:pt>
                <c:pt idx="5">
                  <c:v>185</c:v>
                </c:pt>
                <c:pt idx="6">
                  <c:v>-98</c:v>
                </c:pt>
                <c:pt idx="7">
                  <c:v>-266</c:v>
                </c:pt>
                <c:pt idx="8">
                  <c:v>-341</c:v>
                </c:pt>
                <c:pt idx="9">
                  <c:v>-676</c:v>
                </c:pt>
              </c:numCache>
            </c:numRef>
          </c:val>
          <c:smooth val="0"/>
        </c:ser>
        <c:dLbls>
          <c:showLegendKey val="0"/>
          <c:showVal val="0"/>
          <c:showCatName val="0"/>
          <c:showSerName val="0"/>
          <c:showPercent val="0"/>
          <c:showBubbleSize val="0"/>
        </c:dLbls>
        <c:marker val="1"/>
        <c:smooth val="0"/>
        <c:axId val="212228608"/>
        <c:axId val="364844096"/>
      </c:lineChart>
      <c:catAx>
        <c:axId val="212228608"/>
        <c:scaling>
          <c:orientation val="minMax"/>
        </c:scaling>
        <c:delete val="0"/>
        <c:axPos val="b"/>
        <c:title>
          <c:tx>
            <c:rich>
              <a:bodyPr/>
              <a:lstStyle/>
              <a:p>
                <a:pPr>
                  <a:defRPr sz="900"/>
                </a:pPr>
                <a:r>
                  <a:rPr lang="zh-TW" altLang="en-US" sz="900" b="0">
                    <a:latin typeface="標楷體" panose="03000509000000000000" pitchFamily="65" charset="-120"/>
                    <a:ea typeface="標楷體" panose="03000509000000000000" pitchFamily="65" charset="-120"/>
                  </a:rPr>
                  <a:t>年</a:t>
                </a:r>
              </a:p>
            </c:rich>
          </c:tx>
          <c:layout>
            <c:manualLayout>
              <c:xMode val="edge"/>
              <c:yMode val="edge"/>
              <c:x val="0.93082125433569729"/>
              <c:y val="0.88910432774136583"/>
            </c:manualLayout>
          </c:layout>
          <c:overlay val="0"/>
        </c:title>
        <c:numFmt formatCode="General" sourceLinked="1"/>
        <c:majorTickMark val="in"/>
        <c:minorTickMark val="none"/>
        <c:tickLblPos val="low"/>
        <c:txPr>
          <a:bodyPr/>
          <a:lstStyle/>
          <a:p>
            <a:pPr>
              <a:defRPr sz="900">
                <a:latin typeface="標楷體" pitchFamily="65" charset="-120"/>
                <a:ea typeface="標楷體" pitchFamily="65" charset="-120"/>
              </a:defRPr>
            </a:pPr>
            <a:endParaRPr lang="zh-TW"/>
          </a:p>
        </c:txPr>
        <c:crossAx val="364844096"/>
        <c:crosses val="autoZero"/>
        <c:auto val="1"/>
        <c:lblAlgn val="ctr"/>
        <c:lblOffset val="100"/>
        <c:noMultiLvlLbl val="0"/>
      </c:catAx>
      <c:valAx>
        <c:axId val="364844096"/>
        <c:scaling>
          <c:orientation val="minMax"/>
        </c:scaling>
        <c:delete val="0"/>
        <c:axPos val="l"/>
        <c:title>
          <c:tx>
            <c:rich>
              <a:bodyPr rot="0" vert="horz"/>
              <a:lstStyle/>
              <a:p>
                <a:pPr>
                  <a:defRPr/>
                </a:pPr>
                <a:r>
                  <a:rPr lang="zh-TW" altLang="en-US" b="0">
                    <a:latin typeface="標楷體" panose="03000509000000000000" pitchFamily="65" charset="-120"/>
                    <a:ea typeface="標楷體" panose="03000509000000000000" pitchFamily="65" charset="-120"/>
                  </a:rPr>
                  <a:t>億元</a:t>
                </a:r>
              </a:p>
            </c:rich>
          </c:tx>
          <c:layout>
            <c:manualLayout>
              <c:xMode val="edge"/>
              <c:yMode val="edge"/>
              <c:x val="1.0977124362951134E-2"/>
              <c:y val="9.6235332657581196E-4"/>
            </c:manualLayout>
          </c:layout>
          <c:overlay val="0"/>
        </c:title>
        <c:numFmt formatCode="#,##0_ " sourceLinked="0"/>
        <c:majorTickMark val="in"/>
        <c:minorTickMark val="none"/>
        <c:tickLblPos val="nextTo"/>
        <c:txPr>
          <a:bodyPr/>
          <a:lstStyle/>
          <a:p>
            <a:pPr>
              <a:defRPr sz="900">
                <a:latin typeface="標楷體" pitchFamily="65" charset="-120"/>
                <a:ea typeface="標楷體" pitchFamily="65" charset="-120"/>
              </a:defRPr>
            </a:pPr>
            <a:endParaRPr lang="zh-TW"/>
          </a:p>
        </c:txPr>
        <c:crossAx val="212228608"/>
        <c:crosses val="autoZero"/>
        <c:crossBetween val="between"/>
      </c:valAx>
      <c:spPr>
        <a:noFill/>
        <a:ln>
          <a:noFill/>
        </a:ln>
      </c:spPr>
    </c:plotArea>
    <c:legend>
      <c:legendPos val="t"/>
      <c:layout>
        <c:manualLayout>
          <c:xMode val="edge"/>
          <c:yMode val="edge"/>
          <c:x val="0.11790515696027506"/>
          <c:y val="3.9581350190737774E-2"/>
          <c:w val="0.81738602143648231"/>
          <c:h val="6.9508196721311477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24566194388998"/>
          <c:y val="0.13516720117552389"/>
          <c:w val="0.8212098655048945"/>
          <c:h val="0.74125105402548663"/>
        </c:manualLayout>
      </c:layout>
      <c:lineChart>
        <c:grouping val="standard"/>
        <c:varyColors val="0"/>
        <c:ser>
          <c:idx val="1"/>
          <c:order val="0"/>
          <c:tx>
            <c:strRef>
              <c:f>健保基金財務!$B$1</c:f>
              <c:strCache>
                <c:ptCount val="1"/>
                <c:pt idx="0">
                  <c:v>健保安全準備餘額</c:v>
                </c:pt>
              </c:strCache>
            </c:strRef>
          </c:tx>
          <c:spPr>
            <a:ln w="25400">
              <a:solidFill>
                <a:schemeClr val="tx1">
                  <a:lumMod val="50000"/>
                  <a:lumOff val="50000"/>
                </a:schemeClr>
              </a:solidFill>
            </a:ln>
          </c:spPr>
          <c:marker>
            <c:symbol val="square"/>
            <c:size val="5"/>
            <c:spPr>
              <a:solidFill>
                <a:schemeClr val="tx1">
                  <a:lumMod val="50000"/>
                  <a:lumOff val="50000"/>
                </a:schemeClr>
              </a:solidFill>
              <a:ln>
                <a:solidFill>
                  <a:schemeClr val="tx1">
                    <a:lumMod val="50000"/>
                    <a:lumOff val="50000"/>
                  </a:schemeClr>
                </a:solidFill>
              </a:ln>
            </c:spPr>
          </c:marker>
          <c:dLbls>
            <c:dLbl>
              <c:idx val="0"/>
              <c:layout>
                <c:manualLayout>
                  <c:x val="-4.4768249225456462E-2"/>
                  <c:y val="6.7283464566929241E-2"/>
                </c:manualLayout>
              </c:layout>
              <c:dLblPos val="r"/>
              <c:showLegendKey val="0"/>
              <c:showVal val="1"/>
              <c:showCatName val="0"/>
              <c:showSerName val="0"/>
              <c:showPercent val="0"/>
              <c:showBubbleSize val="0"/>
            </c:dLbl>
            <c:dLbl>
              <c:idx val="1"/>
              <c:layout>
                <c:manualLayout>
                  <c:x val="-4.073412465232891E-2"/>
                  <c:y val="-8.758452734391807E-2"/>
                </c:manualLayout>
              </c:layout>
              <c:dLblPos val="r"/>
              <c:showLegendKey val="0"/>
              <c:showVal val="1"/>
              <c:showCatName val="0"/>
              <c:showSerName val="0"/>
              <c:showPercent val="0"/>
              <c:showBubbleSize val="0"/>
            </c:dLbl>
            <c:dLbl>
              <c:idx val="2"/>
              <c:layout>
                <c:manualLayout>
                  <c:x val="-4.9403677702214127E-2"/>
                  <c:y val="-7.9668610968755785E-2"/>
                </c:manualLayout>
              </c:layout>
              <c:dLblPos val="r"/>
              <c:showLegendKey val="0"/>
              <c:showVal val="1"/>
              <c:showCatName val="0"/>
              <c:showSerName val="0"/>
              <c:showPercent val="0"/>
              <c:showBubbleSize val="0"/>
            </c:dLbl>
            <c:dLbl>
              <c:idx val="3"/>
              <c:layout>
                <c:manualLayout>
                  <c:x val="-6.7617501703136101E-2"/>
                  <c:y val="-9.5162450545498198E-2"/>
                </c:manualLayout>
              </c:layout>
              <c:dLblPos val="r"/>
              <c:showLegendKey val="0"/>
              <c:showVal val="1"/>
              <c:showCatName val="0"/>
              <c:showSerName val="0"/>
              <c:showPercent val="0"/>
              <c:showBubbleSize val="0"/>
            </c:dLbl>
            <c:dLbl>
              <c:idx val="5"/>
              <c:layout>
                <c:manualLayout>
                  <c:x val="-5.674948874003502E-2"/>
                  <c:y val="-5.962859311260791E-2"/>
                </c:manualLayout>
              </c:layout>
              <c:dLblPos val="r"/>
              <c:showLegendKey val="0"/>
              <c:showVal val="1"/>
              <c:showCatName val="0"/>
              <c:showSerName val="0"/>
              <c:showPercent val="0"/>
              <c:showBubbleSize val="0"/>
            </c:dLbl>
            <c:dLbl>
              <c:idx val="6"/>
              <c:layout>
                <c:manualLayout>
                  <c:x val="-4.5771054341757315E-2"/>
                  <c:y val="-6.8865719820611043E-2"/>
                </c:manualLayout>
              </c:layout>
              <c:dLblPos val="r"/>
              <c:showLegendKey val="0"/>
              <c:showVal val="1"/>
              <c:showCatName val="0"/>
              <c:showSerName val="0"/>
              <c:showPercent val="0"/>
              <c:showBubbleSize val="0"/>
            </c:dLbl>
            <c:dLbl>
              <c:idx val="7"/>
              <c:layout>
                <c:manualLayout>
                  <c:x val="-5.207488011578016E-2"/>
                  <c:y val="-5.9368438837148381E-2"/>
                </c:manualLayout>
              </c:layout>
              <c:dLblPos val="r"/>
              <c:showLegendKey val="0"/>
              <c:showVal val="1"/>
              <c:showCatName val="0"/>
              <c:showSerName val="0"/>
              <c:showPercent val="0"/>
              <c:showBubbleSize val="0"/>
            </c:dLbl>
            <c:dLbl>
              <c:idx val="8"/>
              <c:layout>
                <c:manualLayout>
                  <c:x val="-4.8965932049166536E-2"/>
                  <c:y val="-5.9368438837148381E-2"/>
                </c:manualLayout>
              </c:layout>
              <c:dLblPos val="r"/>
              <c:showLegendKey val="0"/>
              <c:showVal val="1"/>
              <c:showCatName val="0"/>
              <c:showSerName val="0"/>
              <c:showPercent val="0"/>
              <c:showBubbleSize val="0"/>
            </c:dLbl>
            <c:dLbl>
              <c:idx val="9"/>
              <c:layout>
                <c:manualLayout>
                  <c:x val="-3.2842241938338658E-2"/>
                  <c:y val="-5.9368438837148436E-2"/>
                </c:manualLayout>
              </c:layout>
              <c:dLblPos val="r"/>
              <c:showLegendKey val="0"/>
              <c:showVal val="1"/>
              <c:showCatName val="0"/>
              <c:showSerName val="0"/>
              <c:showPercent val="0"/>
              <c:showBubbleSize val="0"/>
            </c:dLbl>
            <c:numFmt formatCode="#,##0_ " sourceLinked="0"/>
            <c:txPr>
              <a:bodyPr/>
              <a:lstStyle/>
              <a:p>
                <a:pPr>
                  <a:defRPr sz="900">
                    <a:latin typeface="標楷體" pitchFamily="65" charset="-120"/>
                    <a:ea typeface="標楷體" pitchFamily="65" charset="-120"/>
                  </a:defRPr>
                </a:pPr>
                <a:endParaRPr lang="zh-TW"/>
              </a:p>
            </c:txPr>
            <c:dLblPos val="t"/>
            <c:showLegendKey val="0"/>
            <c:showVal val="1"/>
            <c:showCatName val="0"/>
            <c:showSerName val="0"/>
            <c:showPercent val="0"/>
            <c:showBubbleSize val="0"/>
            <c:showLeaderLines val="0"/>
          </c:dLbls>
          <c:cat>
            <c:numRef>
              <c:f>健保基金財務!$A$5:$A$14</c:f>
              <c:numCache>
                <c:formatCode>General</c:formatCode>
                <c:ptCount val="10"/>
                <c:pt idx="0">
                  <c:v>100</c:v>
                </c:pt>
                <c:pt idx="1">
                  <c:v>101</c:v>
                </c:pt>
                <c:pt idx="2">
                  <c:v>102</c:v>
                </c:pt>
                <c:pt idx="3">
                  <c:v>103</c:v>
                </c:pt>
                <c:pt idx="4">
                  <c:v>104</c:v>
                </c:pt>
                <c:pt idx="5">
                  <c:v>105</c:v>
                </c:pt>
                <c:pt idx="6">
                  <c:v>106</c:v>
                </c:pt>
                <c:pt idx="7">
                  <c:v>107</c:v>
                </c:pt>
                <c:pt idx="8">
                  <c:v>108</c:v>
                </c:pt>
                <c:pt idx="9">
                  <c:v>109</c:v>
                </c:pt>
              </c:numCache>
            </c:numRef>
          </c:cat>
          <c:val>
            <c:numRef>
              <c:f>健保基金財務!$B$5:$B$14</c:f>
              <c:numCache>
                <c:formatCode>General</c:formatCode>
                <c:ptCount val="10"/>
                <c:pt idx="0">
                  <c:v>-55</c:v>
                </c:pt>
                <c:pt idx="1">
                  <c:v>210</c:v>
                </c:pt>
                <c:pt idx="2">
                  <c:v>745</c:v>
                </c:pt>
                <c:pt idx="3" formatCode="#,##0">
                  <c:v>1259</c:v>
                </c:pt>
                <c:pt idx="4" formatCode="#,##0">
                  <c:v>2288</c:v>
                </c:pt>
                <c:pt idx="5" formatCode="#,##0">
                  <c:v>2474</c:v>
                </c:pt>
                <c:pt idx="6" formatCode="#,##0">
                  <c:v>2375</c:v>
                </c:pt>
                <c:pt idx="7" formatCode="#,##0">
                  <c:v>2109</c:v>
                </c:pt>
                <c:pt idx="8" formatCode="#,##0">
                  <c:v>1767</c:v>
                </c:pt>
                <c:pt idx="9" formatCode="#,##0">
                  <c:v>1091</c:v>
                </c:pt>
              </c:numCache>
            </c:numRef>
          </c:val>
          <c:smooth val="0"/>
        </c:ser>
        <c:ser>
          <c:idx val="0"/>
          <c:order val="1"/>
          <c:tx>
            <c:strRef>
              <c:f>健保基金財務!$C$1</c:f>
              <c:strCache>
                <c:ptCount val="1"/>
                <c:pt idx="0">
                  <c:v>保險收支淨餘絀</c:v>
                </c:pt>
              </c:strCache>
            </c:strRef>
          </c:tx>
          <c:spPr>
            <a:ln w="25400">
              <a:solidFill>
                <a:schemeClr val="tx1">
                  <a:lumMod val="50000"/>
                  <a:lumOff val="50000"/>
                </a:schemeClr>
              </a:solidFill>
              <a:prstDash val="dash"/>
            </a:ln>
          </c:spPr>
          <c:marker>
            <c:symbol val="diamond"/>
            <c:size val="5"/>
            <c:spPr>
              <a:solidFill>
                <a:schemeClr val="tx1">
                  <a:lumMod val="50000"/>
                  <a:lumOff val="50000"/>
                </a:schemeClr>
              </a:solidFill>
              <a:ln>
                <a:solidFill>
                  <a:schemeClr val="tx1">
                    <a:lumMod val="50000"/>
                    <a:lumOff val="50000"/>
                  </a:schemeClr>
                </a:solidFill>
              </a:ln>
            </c:spPr>
          </c:marker>
          <c:dLbls>
            <c:dLbl>
              <c:idx val="1"/>
              <c:layout>
                <c:manualLayout>
                  <c:x val="6.5297528107494023E-3"/>
                  <c:y val="1.2961920743513619E-2"/>
                </c:manualLayout>
              </c:layout>
              <c:dLblPos val="r"/>
              <c:showLegendKey val="0"/>
              <c:showVal val="1"/>
              <c:showCatName val="0"/>
              <c:showSerName val="0"/>
              <c:showPercent val="0"/>
              <c:showBubbleSize val="0"/>
            </c:dLbl>
            <c:dLbl>
              <c:idx val="2"/>
              <c:layout>
                <c:manualLayout>
                  <c:x val="-2.0748433959211148E-2"/>
                  <c:y val="3.9159108080505114E-2"/>
                </c:manualLayout>
              </c:layout>
              <c:dLblPos val="r"/>
              <c:showLegendKey val="0"/>
              <c:showVal val="1"/>
              <c:showCatName val="0"/>
              <c:showSerName val="0"/>
              <c:showPercent val="0"/>
              <c:showBubbleSize val="0"/>
            </c:dLbl>
            <c:dLbl>
              <c:idx val="3"/>
              <c:layout>
                <c:manualLayout>
                  <c:x val="-4.7411702814919916E-2"/>
                  <c:y val="-4.7313933489504037E-2"/>
                </c:manualLayout>
              </c:layout>
              <c:dLblPos val="r"/>
              <c:showLegendKey val="0"/>
              <c:showVal val="1"/>
              <c:showCatName val="0"/>
              <c:showSerName val="0"/>
              <c:showPercent val="0"/>
              <c:showBubbleSize val="0"/>
            </c:dLbl>
            <c:dLbl>
              <c:idx val="4"/>
              <c:layout>
                <c:manualLayout>
                  <c:x val="-5.5183828182393903E-2"/>
                  <c:y val="-4.7313933489504037E-2"/>
                </c:manualLayout>
              </c:layout>
              <c:dLblPos val="r"/>
              <c:showLegendKey val="0"/>
              <c:showVal val="1"/>
              <c:showCatName val="0"/>
              <c:showSerName val="0"/>
              <c:showPercent val="0"/>
              <c:showBubbleSize val="0"/>
            </c:dLbl>
            <c:dLbl>
              <c:idx val="5"/>
              <c:layout>
                <c:manualLayout>
                  <c:x val="-2.5649066348623729E-2"/>
                  <c:y val="-5.3341186163326205E-2"/>
                </c:manualLayout>
              </c:layout>
              <c:dLblPos val="r"/>
              <c:showLegendKey val="0"/>
              <c:showVal val="1"/>
              <c:showCatName val="0"/>
              <c:showSerName val="0"/>
              <c:showPercent val="0"/>
              <c:showBubbleSize val="0"/>
            </c:dLbl>
            <c:dLbl>
              <c:idx val="6"/>
              <c:layout>
                <c:manualLayout>
                  <c:x val="-5.9611319969140715E-2"/>
                  <c:y val="6.7771084337349394E-2"/>
                </c:manualLayout>
              </c:layout>
              <c:dLblPos val="r"/>
              <c:showLegendKey val="0"/>
              <c:showVal val="1"/>
              <c:showCatName val="0"/>
              <c:showSerName val="0"/>
              <c:showPercent val="0"/>
              <c:showBubbleSize val="0"/>
            </c:dLbl>
            <c:dLbl>
              <c:idx val="7"/>
              <c:layout>
                <c:manualLayout>
                  <c:x val="-5.4205121539061485E-2"/>
                  <c:y val="6.8571151955107879E-2"/>
                </c:manualLayout>
              </c:layout>
              <c:dLblPos val="r"/>
              <c:showLegendKey val="0"/>
              <c:showVal val="1"/>
              <c:showCatName val="0"/>
              <c:showSerName val="0"/>
              <c:showPercent val="0"/>
              <c:showBubbleSize val="0"/>
            </c:dLbl>
            <c:dLbl>
              <c:idx val="8"/>
              <c:layout>
                <c:manualLayout>
                  <c:x val="-5.2543530097953442E-2"/>
                  <c:y val="6.9527240269055338E-2"/>
                </c:manualLayout>
              </c:layout>
              <c:dLblPos val="r"/>
              <c:showLegendKey val="0"/>
              <c:showVal val="1"/>
              <c:showCatName val="0"/>
              <c:showSerName val="0"/>
              <c:showPercent val="0"/>
              <c:showBubbleSize val="0"/>
            </c:dLbl>
            <c:dLbl>
              <c:idx val="9"/>
              <c:layout>
                <c:manualLayout>
                  <c:x val="-1.2470064134905824E-2"/>
                  <c:y val="1.0265313018486107E-2"/>
                </c:manualLayout>
              </c:layout>
              <c:dLblPos val="r"/>
              <c:showLegendKey val="0"/>
              <c:showVal val="1"/>
              <c:showCatName val="0"/>
              <c:showSerName val="0"/>
              <c:showPercent val="0"/>
              <c:showBubbleSize val="0"/>
            </c:dLbl>
            <c:numFmt formatCode="#,##0_ " sourceLinked="0"/>
            <c:txPr>
              <a:bodyPr/>
              <a:lstStyle/>
              <a:p>
                <a:pPr>
                  <a:defRPr sz="900">
                    <a:latin typeface="標楷體" pitchFamily="65" charset="-120"/>
                    <a:ea typeface="標楷體" pitchFamily="65" charset="-120"/>
                  </a:defRPr>
                </a:pPr>
                <a:endParaRPr lang="zh-TW"/>
              </a:p>
            </c:txPr>
            <c:dLblPos val="t"/>
            <c:showLegendKey val="0"/>
            <c:showVal val="1"/>
            <c:showCatName val="0"/>
            <c:showSerName val="0"/>
            <c:showPercent val="0"/>
            <c:showBubbleSize val="0"/>
            <c:showLeaderLines val="0"/>
          </c:dLbls>
          <c:cat>
            <c:numRef>
              <c:f>健保基金財務!$A$5:$A$14</c:f>
              <c:numCache>
                <c:formatCode>General</c:formatCode>
                <c:ptCount val="10"/>
                <c:pt idx="0">
                  <c:v>100</c:v>
                </c:pt>
                <c:pt idx="1">
                  <c:v>101</c:v>
                </c:pt>
                <c:pt idx="2">
                  <c:v>102</c:v>
                </c:pt>
                <c:pt idx="3">
                  <c:v>103</c:v>
                </c:pt>
                <c:pt idx="4">
                  <c:v>104</c:v>
                </c:pt>
                <c:pt idx="5">
                  <c:v>105</c:v>
                </c:pt>
                <c:pt idx="6">
                  <c:v>106</c:v>
                </c:pt>
                <c:pt idx="7">
                  <c:v>107</c:v>
                </c:pt>
                <c:pt idx="8">
                  <c:v>108</c:v>
                </c:pt>
                <c:pt idx="9">
                  <c:v>109</c:v>
                </c:pt>
              </c:numCache>
            </c:numRef>
          </c:cat>
          <c:val>
            <c:numRef>
              <c:f>健保基金財務!$C$5:$C$14</c:f>
              <c:numCache>
                <c:formatCode>General</c:formatCode>
                <c:ptCount val="10"/>
                <c:pt idx="0">
                  <c:v>341</c:v>
                </c:pt>
                <c:pt idx="1">
                  <c:v>265</c:v>
                </c:pt>
                <c:pt idx="2">
                  <c:v>535</c:v>
                </c:pt>
                <c:pt idx="3">
                  <c:v>513</c:v>
                </c:pt>
                <c:pt idx="4" formatCode="#,##0">
                  <c:v>1028</c:v>
                </c:pt>
                <c:pt idx="5">
                  <c:v>185</c:v>
                </c:pt>
                <c:pt idx="6">
                  <c:v>-98</c:v>
                </c:pt>
                <c:pt idx="7">
                  <c:v>-266</c:v>
                </c:pt>
                <c:pt idx="8">
                  <c:v>-341</c:v>
                </c:pt>
                <c:pt idx="9">
                  <c:v>-676</c:v>
                </c:pt>
              </c:numCache>
            </c:numRef>
          </c:val>
          <c:smooth val="0"/>
        </c:ser>
        <c:dLbls>
          <c:showLegendKey val="0"/>
          <c:showVal val="0"/>
          <c:showCatName val="0"/>
          <c:showSerName val="0"/>
          <c:showPercent val="0"/>
          <c:showBubbleSize val="0"/>
        </c:dLbls>
        <c:marker val="1"/>
        <c:smooth val="0"/>
        <c:axId val="218875392"/>
        <c:axId val="218441984"/>
      </c:lineChart>
      <c:catAx>
        <c:axId val="218875392"/>
        <c:scaling>
          <c:orientation val="minMax"/>
        </c:scaling>
        <c:delete val="0"/>
        <c:axPos val="b"/>
        <c:title>
          <c:tx>
            <c:rich>
              <a:bodyPr/>
              <a:lstStyle/>
              <a:p>
                <a:pPr>
                  <a:defRPr sz="900"/>
                </a:pPr>
                <a:r>
                  <a:rPr lang="zh-TW" altLang="en-US" sz="900" b="0">
                    <a:latin typeface="標楷體" panose="03000509000000000000" pitchFamily="65" charset="-120"/>
                    <a:ea typeface="標楷體" panose="03000509000000000000" pitchFamily="65" charset="-120"/>
                  </a:rPr>
                  <a:t>年</a:t>
                </a:r>
              </a:p>
            </c:rich>
          </c:tx>
          <c:layout>
            <c:manualLayout>
              <c:xMode val="edge"/>
              <c:yMode val="edge"/>
              <c:x val="0.93082125433569729"/>
              <c:y val="0.88910432774136583"/>
            </c:manualLayout>
          </c:layout>
          <c:overlay val="0"/>
        </c:title>
        <c:numFmt formatCode="General" sourceLinked="1"/>
        <c:majorTickMark val="in"/>
        <c:minorTickMark val="none"/>
        <c:tickLblPos val="low"/>
        <c:txPr>
          <a:bodyPr/>
          <a:lstStyle/>
          <a:p>
            <a:pPr>
              <a:defRPr sz="900">
                <a:latin typeface="標楷體" pitchFamily="65" charset="-120"/>
                <a:ea typeface="標楷體" pitchFamily="65" charset="-120"/>
              </a:defRPr>
            </a:pPr>
            <a:endParaRPr lang="zh-TW"/>
          </a:p>
        </c:txPr>
        <c:crossAx val="218441984"/>
        <c:crosses val="autoZero"/>
        <c:auto val="1"/>
        <c:lblAlgn val="ctr"/>
        <c:lblOffset val="100"/>
        <c:noMultiLvlLbl val="0"/>
      </c:catAx>
      <c:valAx>
        <c:axId val="218441984"/>
        <c:scaling>
          <c:orientation val="minMax"/>
        </c:scaling>
        <c:delete val="0"/>
        <c:axPos val="l"/>
        <c:title>
          <c:tx>
            <c:rich>
              <a:bodyPr rot="0" vert="horz"/>
              <a:lstStyle/>
              <a:p>
                <a:pPr>
                  <a:defRPr/>
                </a:pPr>
                <a:r>
                  <a:rPr lang="zh-TW" altLang="en-US" b="0">
                    <a:latin typeface="標楷體" panose="03000509000000000000" pitchFamily="65" charset="-120"/>
                    <a:ea typeface="標楷體" panose="03000509000000000000" pitchFamily="65" charset="-120"/>
                  </a:rPr>
                  <a:t>億元</a:t>
                </a:r>
              </a:p>
            </c:rich>
          </c:tx>
          <c:layout>
            <c:manualLayout>
              <c:xMode val="edge"/>
              <c:yMode val="edge"/>
              <c:x val="1.0977124362951134E-2"/>
              <c:y val="9.6235332657581196E-4"/>
            </c:manualLayout>
          </c:layout>
          <c:overlay val="0"/>
        </c:title>
        <c:numFmt formatCode="#,##0_ " sourceLinked="0"/>
        <c:majorTickMark val="in"/>
        <c:minorTickMark val="none"/>
        <c:tickLblPos val="nextTo"/>
        <c:txPr>
          <a:bodyPr/>
          <a:lstStyle/>
          <a:p>
            <a:pPr>
              <a:defRPr sz="900">
                <a:latin typeface="標楷體" pitchFamily="65" charset="-120"/>
                <a:ea typeface="標楷體" pitchFamily="65" charset="-120"/>
              </a:defRPr>
            </a:pPr>
            <a:endParaRPr lang="zh-TW"/>
          </a:p>
        </c:txPr>
        <c:crossAx val="218875392"/>
        <c:crosses val="autoZero"/>
        <c:crossBetween val="between"/>
      </c:valAx>
      <c:spPr>
        <a:noFill/>
        <a:ln>
          <a:noFill/>
        </a:ln>
      </c:spPr>
    </c:plotArea>
    <c:legend>
      <c:legendPos val="t"/>
      <c:layout>
        <c:manualLayout>
          <c:xMode val="edge"/>
          <c:yMode val="edge"/>
          <c:x val="0.11790515696027506"/>
          <c:y val="3.9581350190737774E-2"/>
          <c:w val="0.81738602143648231"/>
          <c:h val="6.9508196721311477E-2"/>
        </c:manualLayout>
      </c:layout>
      <c:overlay val="0"/>
      <c:txPr>
        <a:bodyPr/>
        <a:lstStyle/>
        <a:p>
          <a:pPr>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a:latin typeface="Times New Roman" panose="02020603050405020304" pitchFamily="18" charset="0"/>
          <a:cs typeface="Times New Roman" panose="02020603050405020304" pitchFamily="18" charset="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F046F-9F78-4DFC-ACD6-BD42EDD4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2017</Words>
  <Characters>11499</Characters>
  <Application>Microsoft Office Word</Application>
  <DocSecurity>0</DocSecurity>
  <Lines>95</Lines>
  <Paragraphs>26</Paragraphs>
  <ScaleCrop>false</ScaleCrop>
  <Company>Nao</Company>
  <LinksUpToDate>false</LinksUpToDate>
  <CharactersWithSpaces>13490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貳、經濟部主管</dc:title>
  <dc:creator>Sta</dc:creator>
  <cp:lastModifiedBy>王憶萍</cp:lastModifiedBy>
  <cp:revision>18</cp:revision>
  <cp:lastPrinted>2021-06-23T06:31:00Z</cp:lastPrinted>
  <dcterms:created xsi:type="dcterms:W3CDTF">2021-06-23T06:22:00Z</dcterms:created>
  <dcterms:modified xsi:type="dcterms:W3CDTF">2021-07-09T10:23:00Z</dcterms:modified>
</cp:coreProperties>
</file>